
<file path=[Content_Types].xml><?xml version="1.0" encoding="utf-8"?>
<Types xmlns="http://schemas.openxmlformats.org/package/2006/content-types">
  <Default Extension="xlsx" ContentType="application/vnd.openxmlformats-officedocument.spreadsheetml.sheet"/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charts/style8.xml" ContentType="application/vnd.ms-office.chartstyle+xml"/>
  <Override PartName="/word/charts/colors8.xml" ContentType="application/vnd.ms-office.chartcolorstyle+xml"/>
  <Override PartName="/word/charts/style7.xml" ContentType="application/vnd.ms-office.chartstyle+xml"/>
  <Override PartName="/word/charts/colors7.xml" ContentType="application/vnd.ms-office.chartcolorstyle+xml"/>
  <Override PartName="/word/charts/chart7.xml" ContentType="application/vnd.openxmlformats-officedocument.drawingml.chart+xml"/>
  <Override PartName="/word/charts/style6.xml" ContentType="application/vnd.ms-office.chartstyle+xml"/>
  <Override PartName="/word/charts/chart6.xml" ContentType="application/vnd.openxmlformats-officedocument.drawingml.chart+xml"/>
  <Override PartName="/word/charts/colors5.xml" ContentType="application/vnd.ms-office.chartcolorstyle+xml"/>
  <Override PartName="/word/charts/chart5.xml" ContentType="application/vnd.openxmlformats-officedocument.drawingml.chart+xml"/>
  <Override PartName="/word/charts/style3.xml" ContentType="application/vnd.ms-office.chartstyle+xml"/>
  <Override PartName="/word/charts/style2.xml" ContentType="application/vnd.ms-office.chartstyle+xml"/>
  <Override PartName="/word/charts/colors3.xml" ContentType="application/vnd.ms-office.chartcolorstyle+xml"/>
  <Override PartName="/word/charts/chart2.xml" ContentType="application/vnd.openxmlformats-officedocument.drawingml.chart+xml"/>
  <Override PartName="/word/charts/style4.xml" ContentType="application/vnd.ms-office.chartstyle+xml"/>
  <Override PartName="/word/charts/colors2.xml" ContentType="application/vnd.ms-office.chartcolorstyle+xml"/>
  <Override PartName="/word/charts/chart8.xml" ContentType="application/vnd.openxmlformats-officedocument.drawingml.chart+xml"/>
  <Override PartName="/word/charts/colors6.xml" ContentType="application/vnd.ms-office.chartcolorstyle+xml"/>
  <Override PartName="/word/charts/style1.xml" ContentType="application/vnd.ms-office.chartstyle+xml"/>
  <Override PartName="/word/charts/colors4.xml" ContentType="application/vnd.ms-office.chartcolorstyle+xml"/>
  <Override PartName="/word/charts/style5.xml" ContentType="application/vnd.ms-office.chartstyle+xml"/>
  <Override PartName="/word/charts/colors1.xml" ContentType="application/vnd.ms-office.chartcolorstyle+xml"/>
  <Override PartName="/word/charts/chart3.xml" ContentType="application/vnd.openxmlformats-officedocument.drawingml.chart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harts/chart1.xml" ContentType="application/vnd.openxmlformats-officedocument.drawingml.chart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charts/chart4.xml" ContentType="application/vnd.openxmlformats-officedocument.drawingml.chart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eastAsia="Calibri" w:cs="Times New Roman"/>
          <w:b/>
          <w:bCs/>
          <w:sz w:val="28"/>
          <w:szCs w:val="28"/>
        </w:rPr>
      </w:r>
      <w:r>
        <w:rPr>
          <w:rFonts w:ascii="Times New Roman" w:hAnsi="Times New Roman"/>
          <w:b/>
          <w:bCs/>
          <w:sz w:val="28"/>
          <w:szCs w:val="28"/>
        </w:rPr>
        <w:t xml:space="preserve">О результатах социологического исследования «О</w:t>
      </w:r>
      <w:r>
        <w:rPr>
          <w:rFonts w:ascii="Times New Roman" w:hAnsi="Times New Roman"/>
          <w:b/>
          <w:bCs/>
          <w:sz w:val="28"/>
          <w:szCs w:val="28"/>
        </w:rPr>
        <w:t xml:space="preserve">ценка уровня, структуры и специфики коррупции в Оренбургской области, эффективности принимаемых антикоррупционных мер», проведенного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в 2023 году и сравнительного анализа результатов, полученных </w:t>
      </w:r>
      <w:r>
        <w:rPr>
          <w:rFonts w:ascii="Times New Roman" w:hAnsi="Times New Roman" w:eastAsia="Calibri" w:cs="Times New Roman"/>
          <w:b/>
          <w:bCs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по итогам исследований, проведенных в 2021, 2022 и 2023 годах</w:t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/>
          <w:bCs/>
          <w:sz w:val="30"/>
          <w:szCs w:val="30"/>
        </w:rPr>
      </w:pP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__________________________________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  <w:t xml:space="preserve">___________________________</w:t>
      </w:r>
      <w:r>
        <w:rPr>
          <w:rFonts w:ascii="Times New Roman" w:hAnsi="Times New Roman" w:eastAsia="Calibri" w:cs="Times New Roman"/>
          <w:b/>
          <w:bCs/>
          <w:sz w:val="30"/>
          <w:szCs w:val="30"/>
        </w:rPr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(</w:t>
      </w:r>
      <w:r>
        <w:rPr>
          <w:rFonts w:ascii="Times New Roman" w:hAnsi="Times New Roman" w:eastAsia="Calibri" w:cs="Times New Roman"/>
          <w:bCs/>
          <w:i/>
          <w:iCs/>
          <w:sz w:val="28"/>
          <w:szCs w:val="28"/>
        </w:rPr>
        <w:t xml:space="preserve">информация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 комитета по профилактике 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</w:r>
    </w:p>
    <w:p>
      <w:pPr>
        <w:spacing w:after="0" w:line="240" w:lineRule="auto"/>
        <w:jc w:val="center"/>
        <w:rPr>
          <w:rFonts w:ascii="Times New Roman" w:hAnsi="Times New Roman" w:eastAsia="Calibri" w:cs="Times New Roman"/>
          <w:bCs/>
          <w:i/>
          <w:sz w:val="28"/>
          <w:szCs w:val="28"/>
        </w:rPr>
      </w:pP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коррупционных правонарушений Оренбургской области</w:t>
      </w:r>
      <w:r>
        <w:rPr>
          <w:rFonts w:ascii="Times New Roman" w:hAnsi="Times New Roman" w:eastAsia="Calibri" w:cs="Times New Roman"/>
          <w:bCs/>
          <w:i/>
          <w:sz w:val="28"/>
          <w:szCs w:val="28"/>
        </w:rPr>
        <w:t xml:space="preserve">)</w:t>
      </w:r>
    </w:p>
    <w:p>
      <w:pPr>
        <w:tabs>
          <w:tab w:val="left" w:pos="298" w:leader="none"/>
        </w:tabs>
        <w:spacing w:after="0" w:line="276" w:lineRule="auto"/>
        <w:jc w:val="both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реализации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Национального плана противодействия коррупции 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региональной программы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комитетом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профилактике коррупционных правонарушений 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(далее – комитет) организовано проведение социологических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 состоянии коррупции и эффективности мер, предпринимаемых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ее предупреждению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государственных органах и органах местного самоуправления в 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далее – исследование).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Ежегодное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проведение исследований является одной из задач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Национальн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план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противодействия коррупции 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 2021-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2024 годы, утвержденного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Указом Президента Российской Федерации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от 16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.08.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№ 478.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Исследования проведены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2019, 2020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2021, 2022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202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3 годах                     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соответствии с методикой, утвержденной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остановлением Правительства Российской Федерации от 25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.05.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2019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662 и сфокусированы на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следующей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проблематике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: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«бытовой» коррупции, возникающей при взаимодействии граждан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представителей органов власти, в том числе при предоставлении государственных (муниципальных) услуг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приняли участие 600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респондент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ов);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«деловой» коррупции, возникающей при взаимодействии органов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власти и представителей бизнеса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опросе принял участие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200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субъектов предпринимательской деятельности).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Целью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является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оценк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уровня, структуры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специфики коррупции на 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ерритории Оренбургской области.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Задач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исследований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заключаются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определени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следующих показателей: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фактические значения параметров оценки коррупции, в том числе уровня коррупции в Оренбургской области;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качественно-количественная оценка коррупции в Оренбургской области;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структура коррупции в Оренбургской области;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основные характеристики коррупции в различных сферах государственного регулирования Оренбургской области;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эффективность (результативность) принимаемых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мер, направленных на противодействие коррупции;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- причин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 услови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проявления коррупции в регионе.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Сбор и анализ информации в рамках проведения социологического исследования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осуществлялся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12 муниципальных образовани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ях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Оренбургской области: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Оренбург,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Орск, г. Новотроицк,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г. Бузулук,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Абдулинский городской округ,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Гайский городской округ, Кувандыкский городской округ, Соль-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Илецкий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городской округ,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Беляевский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Октябрьский,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Первомайский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Ташлинский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районы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подготовки к заседанию комиссии проведен сравнительный анализ результатов социологических исследований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за 2021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-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 годы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Отношение населения к «бытовой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» и «деловой»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коррупции во многом зависит от уровня информированности, прежде всего о тех мерах, которые принимаются властями регион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 по противодействию коррупции.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939781" cy="3938265"/>
            <wp:effectExtent l="4762" t="4762" r="4762" b="4762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  <w:r>
        <w:rPr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Результаты исследования, проведенные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2023 году,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показали, что 57% респондентов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той или иной степени получают информацию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 мера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предпринимаемы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властями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противодействию коррупции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71%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71%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Одновременно с этим, 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сравнении с 2021 и 2022 годами,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на 15% увеличилось количество лиц, ничего не знающих о принимаемых мерах                  по противодействия коррупции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. Значение данного показателя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3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году составило 38%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23%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2022 – 23%).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Таким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образом, возникает вопрос об эффективности проводимых мероприятий по антикоррупционному информированию и просвещению. Учитывая тенденцию снижения показателей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комиссией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координации работы по противодействию коррупции в Оренбургской области в мае 2023 года рассматривался вопрос, связанный с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обеспечением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антикоррупционн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информировани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информационного сопровождения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самоуправления Оренбургской области по профилактике коррупционных правонарушений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Выработаны меры, направленные на </w:t>
      </w:r>
      <w:r>
        <w:rPr>
          <w:rFonts w:ascii="Times New Roman" w:hAnsi="Times New Roman" w:cs="Times New Roman"/>
          <w:sz w:val="28"/>
          <w:szCs w:val="28"/>
        </w:rPr>
        <w:t xml:space="preserve">повышения качества проводимых мероприятий                             по освещению деятельности по профилактике коррупционных правонарушений, вовлечение в указанные мероприятия </w:t>
      </w:r>
      <w:r>
        <w:rPr>
          <w:rFonts w:ascii="Times New Roman" w:hAnsi="Times New Roman" w:cs="Times New Roman"/>
          <w:sz w:val="28"/>
          <w:szCs w:val="28"/>
        </w:rPr>
        <w:t xml:space="preserve">более широкого круга лиц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езультат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проведенного исследования 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2023 году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показывают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что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72% представителей бизнеса информированы о реализуемых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регионе мерах по противодействию коррупции 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63%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 2022 – 54%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w:drawing>
          <wp:inline distT="0" distB="0" distL="0" distR="0">
            <wp:extent cx="5939785" cy="3917946"/>
            <wp:effectExtent l="4762" t="4762" r="4762" b="4762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При этом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31%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респондентов в сфере «деловой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» коррупции в 202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3 году указали, что специально не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следят за информацией о мерах, которые власти принимают для противодействия коррупции (в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2021 году этот показатель составил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– 21%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22%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наблюдается увеличение количества представителей бизнес-сообщества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информирован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о реализуемых в регионе мерах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противодействию коррупции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 что свидетельствует о повышении запроса среди представителей бизнеса на справедливое распределение ограниченных ресурсов и проведении надзорными органами контрольных мероприятий.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целях обеспечения принципов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конкурентности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омиссией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по координации работы по противодействию коррупции в Оренбургской области выраб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атываются меры, направленные на профилактику коррупционных правонарушений в сфере закупок товаров, работ, услуг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                 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для обеспечения государственных и муниципальных нужд, которые реализуются соответствующими специалистами органов исполнительной власти и местного самоуправления Оренбургской области.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Одним из основных направлений социологических исследований, является оценка эффективности принимаемых в регионе мер антикоррупционной направленности.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ff0000"/>
          <w:lang w:eastAsia="ru-RU"/>
        </w:rPr>
      </w:r>
      <w:r>
        <w:rPr>
          <w:color w:val="ff0000"/>
          <w:lang w:eastAsia="ru-RU"/>
        </w:rPr>
        <w:drawing>
          <wp:inline distT="0" distB="0" distL="0" distR="0">
            <wp:extent cx="5891525" cy="2902221"/>
            <wp:effectExtent l="4762" t="4762" r="4762" b="4762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2023 году эффективной деятельность руководства региона в сфере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противодействия коррупции признали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22% респондентов, опрошенных                         в сфере «бытовой» коррупции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37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%,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53%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сновываясь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сравнительном анализе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можно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констати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ровать,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в 2023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наблюдается рост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количественных показателей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региона, считающих проводимую антикоррупционную работу неэффективной.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885469" cy="3809454"/>
            <wp:effectExtent l="4762" t="4762" r="4762" b="4762"/>
            <wp:docPr id="4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если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2021 и 2022 годах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соответственно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37% 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24% участвующих в опросах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считал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принимаемые меры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противодействию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коррупции являются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эффективными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то в 2023 году данный показатель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составил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35%.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2% респондентов считают действия властей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контрэффективными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В 2021 году этот показатель составлял 5%, 2022 – 2%.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по мнению 48% опрошенных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28%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41%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власти региона стараются в меру своих полномочий бороться с различными антикоррупционными проявлениями, 35%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2021 – 39%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2022 – 25%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придерживаются противоположной позиции (руководство региона не стремиться решать проблемы коррупции).</w:t>
      </w:r>
      <w:r>
        <w:rPr>
          <w:rFonts w:ascii="Times New Roman" w:hAnsi="Times New Roman" w:cs="Times New Roman"/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 исходя из полученных результатов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социологического исследования, необходимо активизировать проводимую работу, направленную на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информировани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 антикоррупционной деятельности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самоуправления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определения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уровня распространенности 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укорененности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«бытовой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 в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участниками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осуществлена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оцен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честност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органов власти и организаций.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оценки уровня коррумпированности органов власти можно сделать вывод, что более 26% респондентов считают власти Оренбургской области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довольно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честными.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Данный показатель в 2021 году составлял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53%,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указывает на необходимость повышения эффективности проводимой антикоррупционной работы.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color w:val="000000" w:themeColor="text1"/>
          <w:highlight w:val="none"/>
        </w:rPr>
      </w:r>
      <w:r>
        <w:rPr>
          <w:color w:val="000000" w:themeColor="text1"/>
          <w:highlight w:val="none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w:drawing>
          <wp:inline distT="0" distB="0" distL="0" distR="0">
            <wp:extent cx="5939785" cy="2957880"/>
            <wp:effectExtent l="4762" t="4762" r="4762" b="4762"/>
            <wp:docPr id="5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  <w:bookmarkStart w:id="0" w:name="_GoBack"/>
      <w:r>
        <w:rPr>
          <w:color w:val="000000" w:themeColor="text1"/>
        </w:rPr>
      </w:r>
      <w:bookmarkEnd w:id="0"/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Проведенные в 2021-2023 годах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динамики «бытовой коррупции»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показали,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порядка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40%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степень распространения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местном, региональном и федеральном уровнях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практически не изменил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ь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целях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определения наиболее коррумпированных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сфер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при взаимодействии населения с государственными структурами, в рамках исследования проведена оценка уровня «бытовой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коррупции.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Сравнительный анализ результатов исследований, проведенных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период 2021-2023 годов показывает,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наиболее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часто коррупционные ситуации возника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бесплатной медицинской помощи              в поликлинике (анализы, прием у врача и др.),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больнице (серьезное лечение,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операция и другое);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поступлении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дошкольные учреждения,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нужную школу («благодарности», «взносы» и т.д.);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услуг по ремонту, эксплуатации жилья у служб по эксплуатации;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поступлении в ВУЗ, переводе из одного ВУЗа в другой, сдаче экзаменов, за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четов, защите дипломных работ;</w:t>
      </w:r>
      <w: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получении нужной работы и обеспечени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одвижения по службе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свидетельствуют о недостаточности проводимых мероприятий антикоррупционной направленности в указанных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сферах, что требует выработки дополнительных мер, направленных                              на снижение коррупционных проявлений.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этом, более 56% респондентов указали удовлетворенность результатами обращения в государственные учреждения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 – 53%;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59%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что связано 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проводимой государством работой, направленной              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развитие цифровых технологий и переводом значительной части государственных и муниципальных услуг в электронный формат.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939785" cy="3901436"/>
            <wp:effectExtent l="4762" t="4762" r="4762" b="4762"/>
            <wp:docPr id="6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  <w:r>
        <w:rPr>
          <w:color w:val="000000" w:themeColor="text1"/>
          <w:lang w:eastAsia="ru-RU"/>
        </w:rPr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  <w:t xml:space="preserve">Вместе с тем, довольно высоким остается количество 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неудовлетворенных или частично удовлетворенных результатами обращения в государственные учреждения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практике создает потенциальную угрозу возникновения и использования коррупционного механизма удовлетворения интересов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2023 году этот показатель составил 42%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 – 40%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33%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более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83%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указали,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не попадали в ситуацию, когда возникала необходимость решить проблему с помощью неформального вознаграждения или подарка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 – 68%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79%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39%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готовы совершить коррупционные действия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если потребуется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получение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стопроцентн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ого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результат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 – 26%;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26%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указывает на недостаточную эффективность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проводимых мероприятий по антикоррупционному просвещению.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Данное обстоятельство учтено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при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разработке мер, направленных на активизацию работы по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информационно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му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сопровождени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деятельности орган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исполнительной власти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местного самоуправления Оренбургской области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изложенных в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решении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комисси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по координации работы по противодействию коррупции в Оренбургской области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от 31.05.2023.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Исследование показало определенную информированность респондентов 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среднем размере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взяток при взаимодействии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представителями органов власти.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Так, сумму взятки в пределах от 5 до 15 тысяч рублей указывает 21%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(2021 – 17%;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Суммы, превышающие 30 тысяч рублей, обозначили 15%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(2021 – 9%;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19%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респондентов, основными результатами «бытовой» коррупции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2023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являютс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 ускорение решения проблем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(34%),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качественное решение проблемы (14%),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минимизация трудностей при решении проблемы (9%)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этом, 12% опрошенных считает, что взятка помогает получить результат, который и так закреплен за функционалом должностного лица.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Кроме того, более 22% респондентов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считает, что взятка ничего не гарантирует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(2021 – 14%;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5%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</w:t>
      </w:r>
      <w:r>
        <w:rPr>
          <w:rFonts w:ascii="Times New Roman" w:hAnsi="Times New Roman" w:cs="Times New Roman"/>
          <w:iCs/>
          <w:color w:val="000000" w:themeColor="text1"/>
          <w:sz w:val="28"/>
          <w:szCs w:val="28"/>
          <w:highlight w:val="none"/>
        </w:rPr>
      </w:r>
    </w:p>
    <w:p>
      <w:pPr>
        <w:tabs>
          <w:tab w:val="left" w:pos="298" w:leader="none"/>
        </w:tabs>
        <w:spacing w:after="0" w:line="240" w:lineRule="auto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  <w:drawing>
          <wp:inline distT="0" distB="0" distL="0" distR="0">
            <wp:extent cx="6027912" cy="3772763"/>
            <wp:effectExtent l="4762" t="4762" r="4762" b="4762"/>
            <wp:docPr id="7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этой связи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целесообразно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принятие дополнительных мер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повышению качества работы при обращении граждан в государственные органы,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том числе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путем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усиления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контроля со стороны руководителей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принятия жестких мер к виновным должностным лицам.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ходе ис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следования «деловой» коррупции проведен анализ мотивации и алгоритма поведения представителей бизнес-сообщества, в рамках которого изучены цели оказания влияния на действия (бездействие) должностных лиц посредством неформальных прямых или скрытых платежей.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Согласно данным исследования, 22%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 указали,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представители бизнеса пресле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дуют такую цель, как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«использование авторитета в силу занимаемой должности для оказания воздействия                    со стороны должностного лица»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20% представителей бизнес-сообщества – «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несовершение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должностным лицом вход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ящих в его служебные полномочия действий (бездействие)»,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ускоренное исполнение должностным лицом своих обязанностей»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Анализ форм оказания влияния на действия (бездействие) должностных лиц показал, что 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амой популярной формой оказания влияния на действия (бездействие) должностных лиц среди бизнес-сообществ являются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подарки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22% 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2022 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21%)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еформальные прямые и (или) скрытые платежи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отметили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12% (2022 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респондентов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Неформальные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услуги имущественного характера, как и в предыдущем периоде, составляют 11%.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27%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участников исследования,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такая форма как подарки, характерна для судебных органов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а также органов, занимающихся вопросами предоставления земельных участков;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осуществляющих деятельность                       по охране труда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23%;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предоставляющих в аренду помещения – 20%;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реализующие функции по охране природных ресурсов и окружающей                  среды – 18%.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езультаты 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проведенны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период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2021-2023 годов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показали, что большинство респондентов никогда не осуществляли неформальные платежи для оказания влияния на действия (бездействие) должностных лиц органов власти.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мнению 9% представителей бизнеса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2021 – 13%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10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неформальные платежи ничего не гарантируют.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 этом положительный эффект от коррупционных действий отмечает 22% представителей бизнеса (2021 – 34%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32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), которые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считают,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что неформальные платежи способствуют качественному решению проблемы,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минимизируют трудности при решении возникающих проблем, а также ускоряют решение возникающих вопросов.</w:t>
      </w:r>
      <w:r>
        <w:rPr>
          <w:color w:val="000000" w:themeColor="text1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Как следует из материалов исследования, неформальные прямые                           и (или) скрытые платежи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30%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респондентов используют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целью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обхода обременительных требований для организации, а также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невыполнимых (противоречивых) требований законодательства; 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  <w:t xml:space="preserve">20%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ускорения получения необходимых документов.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В рамках проведения исследования изучалось мнение представителей бизнеса о коррупции в сфере осуществления государственных                                  и муниципальных закупок.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cs="Times New Roman"/>
          <w:sz w:val="28"/>
          <w:szCs w:val="28"/>
        </w:rPr>
        <w:t xml:space="preserve">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закупках</w:t>
      </w:r>
      <w:r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государственного или муниципального контракта участвовали около 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% предпринимателей. При этом </w:t>
      </w:r>
      <w:r>
        <w:rPr>
          <w:rFonts w:ascii="Times New Roman" w:hAnsi="Times New Roman" w:cs="Times New Roman"/>
          <w:sz w:val="28"/>
          <w:szCs w:val="28"/>
        </w:rPr>
        <w:t xml:space="preserve">наибольшее число респондентов участвовали в конкурсах на муниципальном уровне (</w:t>
      </w:r>
      <w:r>
        <w:rPr>
          <w:rFonts w:ascii="Times New Roman" w:hAnsi="Times New Roman" w:cs="Times New Roman"/>
          <w:sz w:val="28"/>
          <w:szCs w:val="28"/>
        </w:rPr>
        <w:t xml:space="preserve">12</w:t>
      </w:r>
      <w:r>
        <w:rPr>
          <w:rFonts w:ascii="Times New Roman" w:hAnsi="Times New Roman" w:cs="Times New Roman"/>
          <w:sz w:val="28"/>
          <w:szCs w:val="28"/>
        </w:rPr>
        <w:t xml:space="preserve">%). На региональном и федеральном уровне в конкурсах </w:t>
      </w:r>
      <w:r>
        <w:rPr>
          <w:rFonts w:ascii="Times New Roman" w:hAnsi="Times New Roman" w:cs="Times New Roman"/>
          <w:sz w:val="28"/>
          <w:szCs w:val="28"/>
        </w:rPr>
        <w:t xml:space="preserve">участвовало</w:t>
      </w:r>
      <w:r>
        <w:rPr>
          <w:rFonts w:ascii="Times New Roman" w:hAnsi="Times New Roman" w:cs="Times New Roman"/>
          <w:sz w:val="28"/>
          <w:szCs w:val="28"/>
        </w:rPr>
        <w:t xml:space="preserve"> 4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 и 5%</w:t>
      </w:r>
      <w:r>
        <w:rPr>
          <w:rFonts w:ascii="Times New Roman" w:hAnsi="Times New Roman" w:cs="Times New Roman"/>
          <w:sz w:val="28"/>
          <w:szCs w:val="28"/>
        </w:rPr>
        <w:t xml:space="preserve"> опрошенных представителей бизнеса соответственно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процентном соотношение наибольшее число контрактов предпринимателями было получено 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 (</w:t>
      </w:r>
      <w:r>
        <w:rPr>
          <w:rFonts w:ascii="Times New Roman" w:hAnsi="Times New Roman" w:cs="Times New Roman"/>
          <w:sz w:val="28"/>
          <w:szCs w:val="28"/>
        </w:rPr>
        <w:t xml:space="preserve">42</w:t>
      </w:r>
      <w:r>
        <w:rPr>
          <w:rFonts w:ascii="Times New Roman" w:hAnsi="Times New Roman" w:cs="Times New Roman"/>
          <w:sz w:val="28"/>
          <w:szCs w:val="28"/>
        </w:rPr>
        <w:t xml:space="preserve">%). </w:t>
      </w:r>
      <w:r>
        <w:rPr>
          <w:rFonts w:ascii="Times New Roman" w:hAnsi="Times New Roman" w:cs="Times New Roman"/>
          <w:sz w:val="28"/>
          <w:szCs w:val="28"/>
        </w:rPr>
        <w:t xml:space="preserve">Более 3-х контрактов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предприниматели</w:t>
      </w:r>
      <w:r>
        <w:rPr>
          <w:rFonts w:ascii="Times New Roman" w:hAnsi="Times New Roman" w:cs="Times New Roman"/>
          <w:sz w:val="28"/>
          <w:szCs w:val="28"/>
        </w:rPr>
        <w:t xml:space="preserve"> чаще получали на муниципальном уровне (</w:t>
      </w:r>
      <w:r>
        <w:rPr>
          <w:rFonts w:ascii="Times New Roman" w:hAnsi="Times New Roman" w:cs="Times New Roman"/>
          <w:sz w:val="28"/>
          <w:szCs w:val="28"/>
        </w:rPr>
        <w:t xml:space="preserve">21</w:t>
      </w:r>
      <w:r>
        <w:rPr>
          <w:rFonts w:ascii="Times New Roman" w:hAnsi="Times New Roman" w:cs="Times New Roman"/>
          <w:sz w:val="28"/>
          <w:szCs w:val="28"/>
        </w:rPr>
        <w:t xml:space="preserve">%</w:t>
      </w:r>
      <w:r>
        <w:rPr>
          <w:rFonts w:ascii="Times New Roman" w:hAnsi="Times New Roman" w:cs="Times New Roman"/>
          <w:sz w:val="28"/>
          <w:szCs w:val="28"/>
        </w:rPr>
        <w:t xml:space="preserve">)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Н</w:t>
      </w:r>
      <w:r>
        <w:rPr>
          <w:rFonts w:ascii="Times New Roman" w:hAnsi="Times New Roman" w:cs="Times New Roman"/>
          <w:sz w:val="28"/>
          <w:szCs w:val="28"/>
        </w:rPr>
        <w:t xml:space="preserve">а необходимость неформальных платежей, для получения государственных контрактов, указало в среднем около </w:t>
      </w:r>
      <w:r>
        <w:rPr>
          <w:rFonts w:ascii="Times New Roman" w:hAnsi="Times New Roman" w:cs="Times New Roman"/>
          <w:sz w:val="28"/>
          <w:szCs w:val="28"/>
        </w:rPr>
        <w:t xml:space="preserve">12%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предпринимателей, получивших контракт на том или ином уровне.</w:t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  <w:t xml:space="preserve">Менее 5% от стоимости контракта заплатили </w:t>
      </w:r>
      <w:r>
        <w:rPr>
          <w:rFonts w:ascii="Times New Roman" w:hAnsi="Times New Roman" w:cs="Times New Roman"/>
          <w:sz w:val="28"/>
          <w:szCs w:val="28"/>
        </w:rPr>
        <w:t xml:space="preserve">около 11</w:t>
      </w:r>
      <w:r>
        <w:rPr>
          <w:rFonts w:ascii="Times New Roman" w:hAnsi="Times New Roman" w:cs="Times New Roman"/>
          <w:sz w:val="28"/>
          <w:szCs w:val="28"/>
        </w:rPr>
        <w:t xml:space="preserve">% предпринимателей, получивших контракты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 xml:space="preserve">федеральном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уровне</w:t>
      </w:r>
      <w:r>
        <w:rPr>
          <w:rFonts w:ascii="Times New Roman" w:hAnsi="Times New Roman" w:cs="Times New Roman"/>
          <w:sz w:val="28"/>
          <w:szCs w:val="28"/>
        </w:rPr>
        <w:t xml:space="preserve">. На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наибольшее количество респондентов указало, что за получение контракта им приходиться платить от 5 до </w:t>
      </w:r>
      <w:r>
        <w:rPr>
          <w:rFonts w:ascii="Times New Roman" w:hAnsi="Times New Roman" w:cs="Times New Roman"/>
          <w:sz w:val="28"/>
          <w:szCs w:val="28"/>
        </w:rPr>
        <w:t xml:space="preserve">10</w:t>
      </w:r>
      <w:r>
        <w:rPr>
          <w:rFonts w:ascii="Times New Roman" w:hAnsi="Times New Roman" w:cs="Times New Roman"/>
          <w:sz w:val="28"/>
          <w:szCs w:val="28"/>
        </w:rPr>
        <w:t xml:space="preserve">% его стоимости. 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налогичную долю от стоимости контракт</w:t>
      </w:r>
      <w:r>
        <w:rPr>
          <w:rFonts w:ascii="Times New Roman" w:hAnsi="Times New Roman" w:cs="Times New Roman"/>
          <w:sz w:val="28"/>
          <w:szCs w:val="28"/>
        </w:rPr>
        <w:t xml:space="preserve">а</w:t>
      </w:r>
      <w:r>
        <w:rPr>
          <w:rFonts w:ascii="Times New Roman" w:hAnsi="Times New Roman" w:cs="Times New Roman"/>
          <w:sz w:val="28"/>
          <w:szCs w:val="28"/>
        </w:rPr>
        <w:t xml:space="preserve"> выплатили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% </w:t>
      </w:r>
      <w:r>
        <w:rPr>
          <w:rFonts w:ascii="Times New Roman" w:hAnsi="Times New Roman" w:cs="Times New Roman"/>
          <w:sz w:val="28"/>
          <w:szCs w:val="28"/>
        </w:rPr>
        <w:t xml:space="preserve">предпринимателей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на региональном уровне</w:t>
      </w:r>
      <w:r>
        <w:rPr>
          <w:rFonts w:ascii="Times New Roman" w:hAnsi="Times New Roman" w:cs="Times New Roman"/>
          <w:sz w:val="28"/>
          <w:szCs w:val="28"/>
        </w:rPr>
        <w:t xml:space="preserve">, 10-15</w:t>
      </w:r>
      <w:r>
        <w:rPr>
          <w:rFonts w:ascii="Times New Roman" w:hAnsi="Times New Roman" w:cs="Times New Roman"/>
          <w:sz w:val="28"/>
          <w:szCs w:val="28"/>
        </w:rPr>
        <w:t xml:space="preserve">% заплатили </w:t>
      </w:r>
      <w:r>
        <w:rPr>
          <w:rFonts w:ascii="Times New Roman" w:hAnsi="Times New Roman" w:cs="Times New Roman"/>
          <w:sz w:val="28"/>
          <w:szCs w:val="28"/>
        </w:rPr>
        <w:t xml:space="preserve">5</w:t>
      </w:r>
      <w:r>
        <w:rPr>
          <w:rFonts w:ascii="Times New Roman" w:hAnsi="Times New Roman" w:cs="Times New Roman"/>
          <w:sz w:val="28"/>
          <w:szCs w:val="28"/>
        </w:rPr>
        <w:t xml:space="preserve">% бизнесменов, участвовавших в конкурсах на </w:t>
      </w:r>
      <w:r>
        <w:rPr>
          <w:rFonts w:ascii="Times New Roman" w:hAnsi="Times New Roman" w:cs="Times New Roman"/>
          <w:sz w:val="28"/>
          <w:szCs w:val="28"/>
        </w:rPr>
        <w:t xml:space="preserve">региональном</w:t>
      </w:r>
      <w:r>
        <w:rPr>
          <w:rFonts w:ascii="Times New Roman" w:hAnsi="Times New Roman" w:cs="Times New Roman"/>
          <w:sz w:val="28"/>
          <w:szCs w:val="28"/>
        </w:rPr>
        <w:t xml:space="preserve"> уровне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298" w:leader="none"/>
          <w:tab w:val="left" w:pos="633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  <w:t xml:space="preserve">Таким образом, </w:t>
      </w:r>
      <w:r>
        <w:rPr>
          <w:rFonts w:ascii="Times New Roman" w:hAnsi="Times New Roman" w:cs="Times New Roman"/>
          <w:sz w:val="28"/>
          <w:szCs w:val="28"/>
        </w:rPr>
        <w:t xml:space="preserve">несмотря на предпринимаемые федеральными                      и региональными властями усилия, предпринимателям все еще приходится сталкиваться с коррупцией при участии в сфере государственного заказа.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Вместе с тем, 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трицательное отношение к коррупции в 202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 году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выразили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43%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опрошенных представителей бизнеса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(2021 – 49%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31%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7% (2021 – 15%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2022 – 10%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 коррупция чаще мешает,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чем помогает.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Исходя из результатов исследования, 37% опрошенных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выделили такую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причин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совершения коррупционных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действий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как «дали понять со стороны должностного лица»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29%)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33% учитывают в своей практики опыт коллег из других организаций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35%)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30% в качестве причины назвали «так надежнее с точки зрения интересов организации»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36%)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ричинами распространения коррупции, 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мнению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33% представителей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бизнес-сообщества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является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алчность чиновников и должностных лиц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22%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бизнеса причины видят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сложившихся традициях в обществе, особенностях культуры,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менталитета;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15% причин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считают сложное, противоречивое законодательство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lang w:eastAsia="ru-RU"/>
        </w:rPr>
      </w:r>
    </w:p>
    <w:p>
      <w:pPr>
        <w:tabs>
          <w:tab w:val="left" w:pos="298" w:leader="none"/>
        </w:tabs>
        <w:spacing w:after="0" w:line="240" w:lineRule="auto"/>
        <w:jc w:val="center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color w:val="000000" w:themeColor="text1"/>
          <w:lang w:eastAsia="ru-RU"/>
        </w:rPr>
      </w:r>
      <w:r>
        <w:rPr>
          <w:color w:val="000000" w:themeColor="text1"/>
          <w:lang w:eastAsia="ru-RU"/>
        </w:rPr>
        <w:drawing>
          <wp:inline distT="0" distB="0" distL="0" distR="0">
            <wp:extent cx="5808913" cy="4010206"/>
            <wp:effectExtent l="4762" t="4762" r="4762" b="4762"/>
            <wp:docPr id="8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рамках подготовки к заседанию комиссии,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проведен 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равнительный анализ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результатов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регионального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исследования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показателями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исследовани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проведенного Торгово-промышленной палатой Российской Федерации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«Бизнес-барометр коррупции»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(участвовал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39 763 предпринимателя), а также с информационно-аналитическими материалами «Общественное мнение о коррупции в Российской Федерации», подготовленными Федеральной службы охраны Российской Федерации (опрошено 47 115 человек).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огласно данным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«Бизнес-барометра коррупции», самыми коррумпированными сферами предпринимательской деятельности являются: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закупки для государственных нужд – 42%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31%)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получение разрешений, справок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сертификатов, лицензирование, аккредитация – 36%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37%)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контроль (надзор) за предпринимательской деятельностью, взаимодействие с проверяющими органами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35%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37%)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вывоз твердых коммунальных отходов – 29%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47%)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регистрация сделок                              с недвижимостью, земельные отношения – 24%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25%)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получение мер государственной поддержки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19%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10%)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соблюдение                         санитарно-эпидемиологических норм – 15%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13%)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природоохранная среда – 12%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(2022 – 10%)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Основными причинами рас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пространения коррупции по мнению 41% является недостаточно строгий контроль за действиями чиновников,                      их доходами и расходами; непрозрачность и запутанность процедур принятия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решений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37%; возможность принятия единоличного решения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должностными лицами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36%; низкий уровень антикоррупционной культуры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обществе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29%; несоразмерность наказания за факты коррупции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28%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низкая заработная плата работников бюджетной сферы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27%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недостаточное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знание населением антикоррупционного законодательства и инструментов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21%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; национальные традиции и менталитет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19%.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Таким образом, исходя из поставленных в исследованиях вопросов, причины распространения коррупции, установленные региональным исследованием, в целом идентичны данным опроса, проведенного                    Торгово-промышленной палатой Российской Федерации.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Анализ информационно-аналитических материалов «Общественное мнение о коррупции в Российской Федерации», подготовленных Федеральной службы охраны Ро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ссийской Федерации показал, что 47% респондентов положительно оценили работу властей Оренбургской области                              по противодействию коррупции (среднероссийский показатель и показатель по Приволжскому федеральному округу составляют 36%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)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  <w:t xml:space="preserve">. Отрицательную оценку деятельности властей региона на данном направлении дали 26% опрошенных (среднероссийский показатель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– 35%, Приволжский федеральный округ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– 34%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highlight w:val="none"/>
          <w:lang w:eastAsia="ru-RU"/>
        </w:rPr>
        <w:t xml:space="preserve">). При этом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по результатам регионального исследования,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эффективной деятельность руководства региона в сфере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противодействия коррупции признали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22% респондентов, опрошенных                         в сфере «бытовой» коррупции</w:t>
      </w:r>
      <w:r>
        <w:rPr>
          <w:rFonts w:ascii="Times New Roman" w:hAnsi="Times New Roman" w:cs="Times New Roman"/>
          <w:sz w:val="28"/>
          <w:szCs w:val="28"/>
        </w:rPr>
        <w:t xml:space="preserve"> и 21%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представителей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бизнес-сообщества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iCs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целью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исправления сложи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вшейся ситуации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по нашему мнению,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необходимо дальнейшее совершенствование нормативно-правовой базы, нацеленной на устранение избыточного административного регулирования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бизнеса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сокращение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различных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административных барьеров при осуществлении 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редпринимательской деятельности,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четкое разграничение функций по лицензированию, контролю и государственному регулированию между различными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органами исполнительной власти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Необходим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дальнейшая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активиз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ация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работ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по взаимодействию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 средствами массовой информации,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направленная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освещени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деятельности по противодействию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проведению разъяснительн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ой работы с населением области.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Для повышения эффективности работы органов власти, необходима обратная связь 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жителями региона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существенной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составляющей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которой являются обращения 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в органы власти. Обращения традиционно играют важную роль в процессе управления, так как с их помощью осуществляется связь с населением, контроль за деятельностью государственных органов и органов местного самоуправления, а также реализация законных прав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граждан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основании проведенных исследований, с целью повышения качественной составляющей показателей оценки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считаем целесообразным: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1.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целью поддержания в общественном сознании представления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коррупции как о социальной патологии,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снижения уровня распространения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продолжить мероприятия по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формирова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нию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нетерпимост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граждан к коррупционным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проявлениям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В этих целях активизировать привлечение средств массовой информации и жителей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Оренбургской области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  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 участию в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проводимых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мероприятиях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антикоррупционной направленности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Также необходимо уделить внимание освещению роли гражданского общества в формировании негативного отношения к корру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пции у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жителей региона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2.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Расширить практику получения населением государственных и муниципальных услуг в электронном формате, а также посредств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ом многофункциональных центров.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Принять меры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п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о совершенствовани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регламентов оказани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государственных 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муниципальных услуг, устранени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существующих барьеров при их получении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, а также упрощени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ю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процедур лицензирования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и надзора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3. Продолжить практику пров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едения мероприятий в организациях, осуществляющих предоставление государственных и муниципальных услуг, в части повышения эффективности антикоррупционной работы, направленной на снижение количества фактов коррупционных проявлений, обратив особое внимание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на выявление фактов «бытовой» коррупции, а также на освещение результатов данной работы в средствах массовой информации.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iCs/>
          <w:color w:val="000000" w:themeColor="text1"/>
          <w:highlight w:val="none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4. Обеспечить взаимодействие и координацию региональных органов власти в сфере соблюдения служащими запретов, ограничений                               и обязанностей, установленных в целях противодействия коррупции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  <w:t xml:space="preserve">5. Продолжить практику реализации мероприятий, направленных                   на профилактику коррупционных правонарушений в сфере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государственных 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(муниципальных) закупок</w:t>
      </w:r>
      <w:r>
        <w:rPr>
          <w:rFonts w:ascii="Times New Roman" w:hAnsi="Times New Roman" w:cs="Times New Roman"/>
          <w:spacing w:val="-4"/>
          <w:sz w:val="28"/>
          <w:szCs w:val="28"/>
        </w:rPr>
        <w:t xml:space="preserve">.</w:t>
      </w:r>
      <w:r>
        <w:rPr>
          <w:rFonts w:ascii="Times New Roman" w:hAnsi="Times New Roman" w:cs="Times New Roman"/>
          <w:color w:val="000000" w:themeColor="text1"/>
          <w:sz w:val="28"/>
          <w:szCs w:val="28"/>
          <w:highlight w:val="none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С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ледует отметить, что коррупция оста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ется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одной из самых острых проблем современности. Она серьезно затрудняет 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эффективное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функционирование всех общественных механизмов, препятствует проведению социальных преобразований и модернизации экономики, вызывает в обществе недоверие к государственным органам.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Кроме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совершенствования законодательства, правового просвещения                и информирования граждан, основной предпосылкой эффективной борьбы             с коррупцией остается изменение морального климата </w:t>
      </w:r>
      <w:r>
        <w:rPr>
          <w:rFonts w:ascii="Times New Roman" w:hAnsi="Times New Roman" w:eastAsia="Calibri" w:cs="Times New Roman"/>
          <w:bCs/>
          <w:color w:val="000000" w:themeColor="text1"/>
          <w:sz w:val="28"/>
          <w:szCs w:val="28"/>
        </w:rPr>
        <w:t xml:space="preserve">в обществе                            и формирование общественного мнения, действительно нетерпимого                       к коррупционным проявлениям.</w:t>
      </w:r>
      <w:r>
        <w:rPr>
          <w:color w:val="000000" w:themeColor="text1"/>
        </w:rPr>
      </w:r>
    </w:p>
    <w:p>
      <w:pPr>
        <w:tabs>
          <w:tab w:val="left" w:pos="298" w:leader="none"/>
        </w:tabs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Конкретные мероприятия включены в проект решения заседания </w:t>
      </w:r>
      <w:r>
        <w:rPr>
          <w:rFonts w:ascii="Times New Roman" w:hAnsi="Times New Roman" w:cs="Times New Roman"/>
          <w:sz w:val="28"/>
          <w:szCs w:val="28"/>
        </w:rPr>
        <w:t xml:space="preserve">Комиссии по координации работы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 противодействию корруп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ции                        в Оренбургской области</w:t>
      </w:r>
      <w:r>
        <w:rPr>
          <w:rFonts w:ascii="Times New Roman" w:hAnsi="Times New Roman" w:eastAsia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.</w:t>
      </w:r>
      <w:r>
        <w:rPr>
          <w:rFonts w:ascii="Times New Roman" w:hAnsi="Times New Roman" w:cs="Times New Roman"/>
          <w:color w:val="000000" w:themeColor="text1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701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Verdana">
    <w:panose1 w:val="020B06040305040402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708908728"/>
      <w:docPartObj>
        <w:docPartGallery w:val="Page Numbers (Top of Page)"/>
        <w:docPartUnique w:val="true"/>
      </w:docPartObj>
      <w:rPr/>
    </w:sdtPr>
    <w:sdtContent>
      <w:p>
        <w:pPr>
          <w:pStyle w:val="83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11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5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5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0">
    <w:name w:val="Heading 1"/>
    <w:basedOn w:val="834"/>
    <w:next w:val="834"/>
    <w:link w:val="661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61">
    <w:name w:val="Heading 1 Char"/>
    <w:basedOn w:val="835"/>
    <w:link w:val="660"/>
    <w:uiPriority w:val="9"/>
    <w:rPr>
      <w:rFonts w:ascii="Arial" w:hAnsi="Arial" w:eastAsia="Arial" w:cs="Arial"/>
      <w:sz w:val="40"/>
      <w:szCs w:val="40"/>
    </w:rPr>
  </w:style>
  <w:style w:type="paragraph" w:styleId="662">
    <w:name w:val="Heading 2"/>
    <w:basedOn w:val="834"/>
    <w:next w:val="834"/>
    <w:link w:val="663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3">
    <w:name w:val="Heading 2 Char"/>
    <w:basedOn w:val="835"/>
    <w:link w:val="662"/>
    <w:uiPriority w:val="9"/>
    <w:rPr>
      <w:rFonts w:ascii="Arial" w:hAnsi="Arial" w:eastAsia="Arial" w:cs="Arial"/>
      <w:sz w:val="34"/>
    </w:rPr>
  </w:style>
  <w:style w:type="paragraph" w:styleId="664">
    <w:name w:val="Heading 3"/>
    <w:basedOn w:val="834"/>
    <w:next w:val="834"/>
    <w:link w:val="665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5">
    <w:name w:val="Heading 3 Char"/>
    <w:basedOn w:val="835"/>
    <w:link w:val="664"/>
    <w:uiPriority w:val="9"/>
    <w:rPr>
      <w:rFonts w:ascii="Arial" w:hAnsi="Arial" w:eastAsia="Arial" w:cs="Arial"/>
      <w:sz w:val="30"/>
      <w:szCs w:val="30"/>
    </w:rPr>
  </w:style>
  <w:style w:type="paragraph" w:styleId="666">
    <w:name w:val="Heading 4"/>
    <w:basedOn w:val="834"/>
    <w:next w:val="834"/>
    <w:link w:val="667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7">
    <w:name w:val="Heading 4 Char"/>
    <w:basedOn w:val="835"/>
    <w:link w:val="666"/>
    <w:uiPriority w:val="9"/>
    <w:rPr>
      <w:rFonts w:ascii="Arial" w:hAnsi="Arial" w:eastAsia="Arial" w:cs="Arial"/>
      <w:b/>
      <w:bCs/>
      <w:sz w:val="26"/>
      <w:szCs w:val="26"/>
    </w:rPr>
  </w:style>
  <w:style w:type="paragraph" w:styleId="668">
    <w:name w:val="Heading 5"/>
    <w:basedOn w:val="834"/>
    <w:next w:val="834"/>
    <w:link w:val="669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9">
    <w:name w:val="Heading 5 Char"/>
    <w:basedOn w:val="835"/>
    <w:link w:val="668"/>
    <w:uiPriority w:val="9"/>
    <w:rPr>
      <w:rFonts w:ascii="Arial" w:hAnsi="Arial" w:eastAsia="Arial" w:cs="Arial"/>
      <w:b/>
      <w:bCs/>
      <w:sz w:val="24"/>
      <w:szCs w:val="24"/>
    </w:rPr>
  </w:style>
  <w:style w:type="paragraph" w:styleId="670">
    <w:name w:val="Heading 6"/>
    <w:basedOn w:val="834"/>
    <w:next w:val="834"/>
    <w:link w:val="671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1">
    <w:name w:val="Heading 6 Char"/>
    <w:basedOn w:val="835"/>
    <w:link w:val="670"/>
    <w:uiPriority w:val="9"/>
    <w:rPr>
      <w:rFonts w:ascii="Arial" w:hAnsi="Arial" w:eastAsia="Arial" w:cs="Arial"/>
      <w:b/>
      <w:bCs/>
      <w:sz w:val="22"/>
      <w:szCs w:val="22"/>
    </w:rPr>
  </w:style>
  <w:style w:type="paragraph" w:styleId="672">
    <w:name w:val="Heading 7"/>
    <w:basedOn w:val="834"/>
    <w:next w:val="834"/>
    <w:link w:val="673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3">
    <w:name w:val="Heading 7 Char"/>
    <w:basedOn w:val="835"/>
    <w:link w:val="67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4">
    <w:name w:val="Heading 8"/>
    <w:basedOn w:val="834"/>
    <w:next w:val="834"/>
    <w:link w:val="675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5">
    <w:name w:val="Heading 8 Char"/>
    <w:basedOn w:val="835"/>
    <w:link w:val="674"/>
    <w:uiPriority w:val="9"/>
    <w:rPr>
      <w:rFonts w:ascii="Arial" w:hAnsi="Arial" w:eastAsia="Arial" w:cs="Arial"/>
      <w:i/>
      <w:iCs/>
      <w:sz w:val="22"/>
      <w:szCs w:val="22"/>
    </w:rPr>
  </w:style>
  <w:style w:type="paragraph" w:styleId="676">
    <w:name w:val="Heading 9"/>
    <w:basedOn w:val="834"/>
    <w:next w:val="834"/>
    <w:link w:val="677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7">
    <w:name w:val="Heading 9 Char"/>
    <w:basedOn w:val="835"/>
    <w:link w:val="676"/>
    <w:uiPriority w:val="9"/>
    <w:rPr>
      <w:rFonts w:ascii="Arial" w:hAnsi="Arial" w:eastAsia="Arial" w:cs="Arial"/>
      <w:i/>
      <w:iCs/>
      <w:sz w:val="21"/>
      <w:szCs w:val="21"/>
    </w:rPr>
  </w:style>
  <w:style w:type="paragraph" w:styleId="678">
    <w:name w:val="Title"/>
    <w:basedOn w:val="834"/>
    <w:next w:val="834"/>
    <w:link w:val="67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79">
    <w:name w:val="Title Char"/>
    <w:basedOn w:val="835"/>
    <w:link w:val="678"/>
    <w:uiPriority w:val="10"/>
    <w:rPr>
      <w:sz w:val="48"/>
      <w:szCs w:val="48"/>
    </w:rPr>
  </w:style>
  <w:style w:type="paragraph" w:styleId="680">
    <w:name w:val="Subtitle"/>
    <w:basedOn w:val="834"/>
    <w:next w:val="834"/>
    <w:link w:val="681"/>
    <w:uiPriority w:val="11"/>
    <w:qFormat/>
    <w:pPr>
      <w:spacing w:before="200" w:after="200"/>
    </w:pPr>
    <w:rPr>
      <w:sz w:val="24"/>
      <w:szCs w:val="24"/>
    </w:rPr>
  </w:style>
  <w:style w:type="character" w:styleId="681">
    <w:name w:val="Subtitle Char"/>
    <w:basedOn w:val="835"/>
    <w:link w:val="680"/>
    <w:uiPriority w:val="11"/>
    <w:rPr>
      <w:sz w:val="24"/>
      <w:szCs w:val="24"/>
    </w:rPr>
  </w:style>
  <w:style w:type="paragraph" w:styleId="682">
    <w:name w:val="Quote"/>
    <w:basedOn w:val="834"/>
    <w:next w:val="834"/>
    <w:link w:val="683"/>
    <w:uiPriority w:val="29"/>
    <w:qFormat/>
    <w:pPr>
      <w:ind w:left="720" w:right="720"/>
    </w:pPr>
    <w:rPr>
      <w:i/>
    </w:rPr>
  </w:style>
  <w:style w:type="character" w:styleId="683">
    <w:name w:val="Quote Char"/>
    <w:link w:val="682"/>
    <w:uiPriority w:val="29"/>
    <w:rPr>
      <w:i/>
    </w:rPr>
  </w:style>
  <w:style w:type="paragraph" w:styleId="684">
    <w:name w:val="Intense Quote"/>
    <w:basedOn w:val="834"/>
    <w:next w:val="834"/>
    <w:link w:val="68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685">
    <w:name w:val="Intense Quote Char"/>
    <w:link w:val="684"/>
    <w:uiPriority w:val="30"/>
    <w:rPr>
      <w:i/>
    </w:rPr>
  </w:style>
  <w:style w:type="character" w:styleId="686">
    <w:name w:val="Header Char"/>
    <w:basedOn w:val="835"/>
    <w:link w:val="838"/>
    <w:uiPriority w:val="99"/>
  </w:style>
  <w:style w:type="character" w:styleId="687">
    <w:name w:val="Footer Char"/>
    <w:basedOn w:val="835"/>
    <w:link w:val="840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840"/>
    <w:uiPriority w:val="99"/>
  </w:style>
  <w:style w:type="table" w:styleId="690">
    <w:name w:val="Table Grid"/>
    <w:basedOn w:val="836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697">
    <w:name w:val="Grid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5">
    <w:name w:val="Grid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6">
    <w:name w:val="Grid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7">
    <w:name w:val="Grid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8">
    <w:name w:val="Grid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09">
    <w:name w:val="Grid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0">
    <w:name w:val="Grid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1">
    <w:name w:val="Grid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2">
    <w:name w:val="Grid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3">
    <w:name w:val="Grid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4">
    <w:name w:val="Grid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6">
    <w:name w:val="Grid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7">
    <w:name w:val="Grid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8">
    <w:name w:val="Grid Table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37fc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26">
    <w:name w:val="Grid Table 5 Dark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472c4" w:themeFill="accent1"/>
      </w:tcPr>
    </w:tblStylePr>
  </w:style>
  <w:style w:type="table" w:styleId="727">
    <w:name w:val="Grid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28">
    <w:name w:val="Grid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29">
    <w:name w:val="Grid Table 5 Dark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30">
    <w:name w:val="Grid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5b9bd5" w:themeFill="accent5"/>
      </w:tcPr>
    </w:tblStylePr>
  </w:style>
  <w:style w:type="table" w:styleId="731">
    <w:name w:val="Grid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32">
    <w:name w:val="Grid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0">
    <w:name w:val="Grid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1">
    <w:name w:val="Grid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2">
    <w:name w:val="Grid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3">
    <w:name w:val="Grid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4">
    <w:name w:val="Grid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Arial" w:hAnsi="Arial"/>
        <w:color w:val="245d8d" w:themeColor="accent5" w:themeShade="95"/>
        <w:sz w:val="22"/>
      </w:r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5">
    <w:name w:val="Grid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46">
    <w:name w:val="List Table 1 Light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472c4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472c4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472c4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cc4e5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cc4e5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Arial" w:hAnsi="Arial"/>
        <w:color w:val="254374" w:themeColor="accent1" w:themeShade="95"/>
        <w:sz w:val="22"/>
      </w:r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54374" w:themeColor="accent1" w:themeShade="95"/>
        <w:sz w:val="22"/>
      </w:rPr>
    </w:tblStylePr>
  </w:style>
  <w:style w:type="table" w:styleId="790">
    <w:name w:val="List Table 7 Colorful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</w:tblStylePr>
  </w:style>
  <w:style w:type="table" w:styleId="794">
    <w:name w:val="List Table 7 Colorful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797">
    <w:name w:val="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1">
    <w:name w:val="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804">
    <w:name w:val="Bordered &amp; Lined - Accent 2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808">
    <w:name w:val="Bordered &amp; Lined - Accent 6"/>
    <w:basedOn w:val="83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basedOn w:val="835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basedOn w:val="835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spacing w:after="57"/>
      <w:ind w:left="0" w:right="0" w:firstLine="0"/>
    </w:pPr>
  </w:style>
  <w:style w:type="paragraph" w:styleId="824">
    <w:name w:val="toc 2"/>
    <w:basedOn w:val="834"/>
    <w:next w:val="834"/>
    <w:uiPriority w:val="39"/>
    <w:unhideWhenUsed/>
    <w:pPr>
      <w:spacing w:after="57"/>
      <w:ind w:left="283" w:right="0" w:firstLine="0"/>
    </w:pPr>
  </w:style>
  <w:style w:type="paragraph" w:styleId="825">
    <w:name w:val="toc 3"/>
    <w:basedOn w:val="834"/>
    <w:next w:val="834"/>
    <w:uiPriority w:val="39"/>
    <w:unhideWhenUsed/>
    <w:pPr>
      <w:spacing w:after="57"/>
      <w:ind w:left="567" w:right="0" w:firstLine="0"/>
    </w:pPr>
  </w:style>
  <w:style w:type="paragraph" w:styleId="826">
    <w:name w:val="toc 4"/>
    <w:basedOn w:val="834"/>
    <w:next w:val="834"/>
    <w:uiPriority w:val="39"/>
    <w:unhideWhenUsed/>
    <w:pPr>
      <w:spacing w:after="57"/>
      <w:ind w:left="850" w:right="0" w:firstLine="0"/>
    </w:pPr>
  </w:style>
  <w:style w:type="paragraph" w:styleId="827">
    <w:name w:val="toc 5"/>
    <w:basedOn w:val="834"/>
    <w:next w:val="834"/>
    <w:uiPriority w:val="39"/>
    <w:unhideWhenUsed/>
    <w:pPr>
      <w:spacing w:after="57"/>
      <w:ind w:left="1134" w:right="0" w:firstLine="0"/>
    </w:pPr>
  </w:style>
  <w:style w:type="paragraph" w:styleId="828">
    <w:name w:val="toc 6"/>
    <w:basedOn w:val="834"/>
    <w:next w:val="834"/>
    <w:uiPriority w:val="39"/>
    <w:unhideWhenUsed/>
    <w:pPr>
      <w:spacing w:after="57"/>
      <w:ind w:left="1417" w:right="0" w:firstLine="0"/>
    </w:pPr>
  </w:style>
  <w:style w:type="paragraph" w:styleId="829">
    <w:name w:val="toc 7"/>
    <w:basedOn w:val="834"/>
    <w:next w:val="834"/>
    <w:uiPriority w:val="39"/>
    <w:unhideWhenUsed/>
    <w:pPr>
      <w:spacing w:after="57"/>
      <w:ind w:left="1701" w:right="0" w:firstLine="0"/>
    </w:pPr>
  </w:style>
  <w:style w:type="paragraph" w:styleId="830">
    <w:name w:val="toc 8"/>
    <w:basedOn w:val="834"/>
    <w:next w:val="834"/>
    <w:uiPriority w:val="39"/>
    <w:unhideWhenUsed/>
    <w:pPr>
      <w:spacing w:after="57"/>
      <w:ind w:left="1984" w:right="0" w:firstLine="0"/>
    </w:pPr>
  </w:style>
  <w:style w:type="paragraph" w:styleId="831">
    <w:name w:val="toc 9"/>
    <w:basedOn w:val="834"/>
    <w:next w:val="834"/>
    <w:uiPriority w:val="39"/>
    <w:unhideWhenUsed/>
    <w:pPr>
      <w:spacing w:after="57"/>
      <w:ind w:left="2268" w:right="0" w:firstLine="0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character" w:styleId="835" w:default="1">
    <w:name w:val="Default Paragraph Font"/>
    <w:uiPriority w:val="1"/>
    <w:semiHidden/>
    <w:unhideWhenUsed/>
  </w:style>
  <w:style w:type="table" w:styleId="836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7" w:default="1">
    <w:name w:val="No List"/>
    <w:uiPriority w:val="99"/>
    <w:semiHidden/>
    <w:unhideWhenUsed/>
  </w:style>
  <w:style w:type="paragraph" w:styleId="838">
    <w:name w:val="Header"/>
    <w:basedOn w:val="834"/>
    <w:link w:val="839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39" w:customStyle="1">
    <w:name w:val="Верхний колонтитул Знак"/>
    <w:basedOn w:val="835"/>
    <w:link w:val="838"/>
    <w:uiPriority w:val="99"/>
  </w:style>
  <w:style w:type="paragraph" w:styleId="840">
    <w:name w:val="Footer"/>
    <w:basedOn w:val="834"/>
    <w:link w:val="841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41" w:customStyle="1">
    <w:name w:val="Нижний колонтитул Знак"/>
    <w:basedOn w:val="835"/>
    <w:link w:val="840"/>
    <w:uiPriority w:val="99"/>
  </w:style>
  <w:style w:type="paragraph" w:styleId="842" w:customStyle="1">
    <w:name w:val="Style4"/>
    <w:basedOn w:val="834"/>
    <w:uiPriority w:val="99"/>
    <w:pPr>
      <w:widowControl w:val="off"/>
      <w:spacing w:after="0" w:line="322" w:lineRule="exact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3">
    <w:name w:val="Balloon Text"/>
    <w:basedOn w:val="834"/>
    <w:link w:val="84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44" w:customStyle="1">
    <w:name w:val="Текст выноски Знак"/>
    <w:basedOn w:val="835"/>
    <w:link w:val="843"/>
    <w:uiPriority w:val="99"/>
    <w:semiHidden/>
    <w:rPr>
      <w:rFonts w:ascii="Segoe UI" w:hAnsi="Segoe UI" w:cs="Segoe UI"/>
      <w:sz w:val="18"/>
      <w:szCs w:val="18"/>
    </w:rPr>
  </w:style>
  <w:style w:type="character" w:styleId="845" w:customStyle="1">
    <w:name w:val="Font Style27"/>
    <w:uiPriority w:val="99"/>
    <w:qFormat/>
    <w:rPr>
      <w:rFonts w:ascii="Times New Roman" w:hAnsi="Times New Roman"/>
      <w:sz w:val="26"/>
    </w:rPr>
  </w:style>
  <w:style w:type="paragraph" w:styleId="846" w:customStyle="1">
    <w:name w:val="Style7"/>
    <w:basedOn w:val="834"/>
    <w:uiPriority w:val="99"/>
    <w:pPr>
      <w:widowControl w:val="off"/>
      <w:spacing w:after="0" w:line="293" w:lineRule="exact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47" w:customStyle="1">
    <w:name w:val="Font Style32"/>
    <w:uiPriority w:val="99"/>
    <w:rPr>
      <w:rFonts w:ascii="Times New Roman" w:hAnsi="Times New Roman"/>
      <w:sz w:val="22"/>
    </w:rPr>
  </w:style>
  <w:style w:type="paragraph" w:styleId="848" w:customStyle="1">
    <w:name w:val="Style3"/>
    <w:basedOn w:val="834"/>
    <w:uiPriority w:val="99"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49">
    <w:name w:val="No Spacing"/>
    <w:uiPriority w:val="1"/>
    <w:qFormat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850">
    <w:name w:val="Normal (Web)"/>
    <w:basedOn w:val="834"/>
    <w:uiPriority w:val="99"/>
    <w:unhideWhenUsed/>
    <w:pPr>
      <w:widowControl w:val="off"/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51" w:customStyle="1">
    <w:name w:val="Font Style33"/>
    <w:uiPriority w:val="99"/>
    <w:rPr>
      <w:rFonts w:ascii="Times New Roman" w:hAnsi="Times New Roman"/>
      <w:sz w:val="22"/>
    </w:rPr>
  </w:style>
  <w:style w:type="paragraph" w:styleId="852">
    <w:name w:val="List Paragraph"/>
    <w:basedOn w:val="834"/>
    <w:uiPriority w:val="34"/>
    <w:qFormat/>
    <w:pPr>
      <w:ind w:left="720"/>
      <w:contextualSpacing/>
    </w:pPr>
  </w:style>
  <w:style w:type="paragraph" w:styleId="853" w:customStyle="1">
    <w:name w:val="Знак"/>
    <w:basedOn w:val="834"/>
    <w:uiPriority w:val="99"/>
    <w:pPr>
      <w:spacing w:line="240" w:lineRule="exact"/>
    </w:pPr>
    <w:rPr>
      <w:rFonts w:ascii="Verdana" w:hAnsi="Verdana" w:eastAsia="Times New Roman" w:cs="Verdana"/>
      <w:sz w:val="20"/>
      <w:szCs w:val="20"/>
      <w:lang w:val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chart" Target="charts/chart1.xml" /><Relationship Id="rId12" Type="http://schemas.openxmlformats.org/officeDocument/2006/relationships/chart" Target="charts/chart2.xml" /><Relationship Id="rId13" Type="http://schemas.openxmlformats.org/officeDocument/2006/relationships/chart" Target="charts/chart3.xml" /><Relationship Id="rId14" Type="http://schemas.openxmlformats.org/officeDocument/2006/relationships/chart" Target="charts/chart4.xml" /><Relationship Id="rId15" Type="http://schemas.openxmlformats.org/officeDocument/2006/relationships/chart" Target="charts/chart5.xml" /><Relationship Id="rId16" Type="http://schemas.openxmlformats.org/officeDocument/2006/relationships/chart" Target="charts/chart6.xml" /><Relationship Id="rId17" Type="http://schemas.openxmlformats.org/officeDocument/2006/relationships/chart" Target="charts/chart7.xml" /><Relationship Id="rId18" Type="http://schemas.openxmlformats.org/officeDocument/2006/relationships/chart" Target="charts/chart8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charts/_rels/chart1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1.xlsx" /><Relationship Id="rId2" Type="http://schemas.microsoft.com/office/2011/relationships/chartStyle" Target="style1.xml" /><Relationship Id="rId3" Type="http://schemas.microsoft.com/office/2011/relationships/chartColorStyle" Target="colors1.xml" /></Relationships>
</file>

<file path=word/charts/_rels/chart2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2.xlsx" /><Relationship Id="rId2" Type="http://schemas.microsoft.com/office/2011/relationships/chartStyle" Target="style2.xml" /><Relationship Id="rId3" Type="http://schemas.microsoft.com/office/2011/relationships/chartColorStyle" Target="colors2.xml" /></Relationships>
</file>

<file path=word/charts/_rels/chart3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3.xlsx" /><Relationship Id="rId2" Type="http://schemas.microsoft.com/office/2011/relationships/chartStyle" Target="style3.xml" /><Relationship Id="rId3" Type="http://schemas.microsoft.com/office/2011/relationships/chartColorStyle" Target="colors3.xml" /></Relationships>
</file>

<file path=word/charts/_rels/chart4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4.xlsx" /><Relationship Id="rId2" Type="http://schemas.microsoft.com/office/2011/relationships/chartStyle" Target="style4.xml" /><Relationship Id="rId3" Type="http://schemas.microsoft.com/office/2011/relationships/chartColorStyle" Target="colors4.xml" /></Relationships>
</file>

<file path=word/charts/_rels/chart5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5.xlsx" /><Relationship Id="rId2" Type="http://schemas.microsoft.com/office/2011/relationships/chartStyle" Target="style5.xml" /><Relationship Id="rId3" Type="http://schemas.microsoft.com/office/2011/relationships/chartColorStyle" Target="colors5.xml" /></Relationships>
</file>

<file path=word/charts/_rels/chart6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6.xlsx" /><Relationship Id="rId2" Type="http://schemas.microsoft.com/office/2011/relationships/chartStyle" Target="style6.xml" /><Relationship Id="rId3" Type="http://schemas.microsoft.com/office/2011/relationships/chartColorStyle" Target="colors6.xml" /></Relationships>
</file>

<file path=word/charts/_rels/chart7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7.xlsx" /><Relationship Id="rId2" Type="http://schemas.microsoft.com/office/2011/relationships/chartStyle" Target="style7.xml" /><Relationship Id="rId3" Type="http://schemas.microsoft.com/office/2011/relationships/chartColorStyle" Target="colors7.xml" /></Relationships>
</file>

<file path=word/charts/_rels/chart8.xml.rels><?xml version="1.0" encoding="UTF-8" standalone="yes"?><Relationships xmlns="http://schemas.openxmlformats.org/package/2006/relationships"><Relationship Id="rId1" Type="http://schemas.openxmlformats.org/officeDocument/2006/relationships/package" Target="../embeddings/Microsoft_Excel_Worksheet8.xlsx" /><Relationship Id="rId2" Type="http://schemas.microsoft.com/office/2011/relationships/chartStyle" Target="style8.xml" /><Relationship Id="rId3" Type="http://schemas.microsoft.com/office/2011/relationships/chartColorStyle" Target="colors8.xml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 b="1"/>
              <a:t>Информированность населения о мерах, принимаемых властями региона по противодействию коррупции,</a:t>
            </a:r>
            <a:r>
              <a:rPr lang="en-US" sz="1400" b="1"/>
              <a:t> (%)</a:t>
            </a:r>
            <a:endParaRPr lang="ru-RU" sz="1400" b="1"/>
          </a:p>
        </c:rich>
      </c:tx>
      <c:layout>
        <c:manualLayout>
          <c:xMode val="edge"/>
          <c:yMode val="edge"/>
          <c:x val="0.10754"/>
          <c:y val="0.03065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'Лист1'!$B$1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'Лист1'!$B$2:$B$6</c:f>
              <c:numCache>
                <c:formatCode>General</c:formatCode>
                <c:ptCount val="5"/>
                <c:pt idx="0">
                  <c:v>8</c:v>
                </c:pt>
                <c:pt idx="1">
                  <c:v>39</c:v>
                </c:pt>
                <c:pt idx="2">
                  <c:v>24</c:v>
                </c:pt>
                <c:pt idx="3">
                  <c:v>23</c:v>
                </c:pt>
                <c:pt idx="4">
                  <c:v>6</c:v>
                </c:pt>
              </c:numCache>
            </c:numRef>
          </c:val>
        </c:ser>
        <c:ser>
          <c:idx val="1"/>
          <c:order val="1"/>
          <c:tx>
            <c:strRef>
              <c:f>'Лист1'!$C$1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'Лист1'!$C$2:$C$6</c:f>
              <c:numCache>
                <c:formatCode>General</c:formatCode>
                <c:ptCount val="5"/>
                <c:pt idx="0">
                  <c:v>11</c:v>
                </c:pt>
                <c:pt idx="1">
                  <c:v>36</c:v>
                </c:pt>
                <c:pt idx="2">
                  <c:v>24</c:v>
                </c:pt>
                <c:pt idx="3">
                  <c:v>23</c:v>
                </c:pt>
                <c:pt idx="4">
                  <c:v>3</c:v>
                </c:pt>
              </c:numCache>
            </c:numRef>
          </c:val>
        </c:ser>
        <c:ser>
          <c:idx val="2"/>
          <c:order val="2"/>
          <c:tx>
            <c:strRef>
              <c:f>'Лист1'!$D$1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4" tIns="19044" rIns="38094" bIns="19044" anchor="ctr" anchorCtr="1">
                <a:spAutoFit/>
              </a:bodyPr>
              <a:lstStyle/>
              <a:p>
                <a:pPr>
                  <a:defRPr sz="90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'Лист1'!$A$2:$A$6</c:f>
              <c:strCache>
                <c:ptCount val="5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  <c:pt idx="4">
                  <c:v xml:space="preserve">Затрудняюсь ответить</c:v>
                </c:pt>
              </c:strCache>
            </c:strRef>
          </c:cat>
          <c:val>
            <c:numRef>
              <c:f>'Лист1'!$D$2:$D$6</c:f>
              <c:numCache>
                <c:formatCode>General</c:formatCode>
                <c:ptCount val="5"/>
                <c:pt idx="0">
                  <c:v>10</c:v>
                </c:pt>
                <c:pt idx="1">
                  <c:v>18</c:v>
                </c:pt>
                <c:pt idx="2">
                  <c:v>29</c:v>
                </c:pt>
                <c:pt idx="3">
                  <c:v>38</c:v>
                </c:pt>
                <c:pt idx="4">
                  <c:v>3</c:v>
                </c:pt>
              </c:numCache>
            </c:numRef>
          </c:val>
        </c:ser>
        <c:dLbls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axId val="1866169513"/>
        <c:axId val="1866169514"/>
      </c:barChart>
      <c:catAx>
        <c:axId val="186616951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4"/>
        <c:crosses val="autoZero"/>
        <c:auto val="1"/>
        <c:lblAlgn val="ctr"/>
        <c:lblOffset val="100"/>
        <c:noMultiLvlLbl val="0"/>
      </c:catAx>
      <c:valAx>
        <c:axId val="1866169514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3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>
        <c:manualLayout>
          <c:x val="0.0064000000000000003"/>
          <c:y val="0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78" cy="393826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Информированность представителей  бизнеса </a:t>
            </a:r>
            <a:endParaRPr/>
          </a:p>
          <a:p>
            <a:pPr algn="ctr">
              <a:defRPr sz="1400"/>
            </a:pPr>
            <a:r>
              <a:rPr lang="ru-RU" sz="1400"/>
              <a:t>о мерах, принимаемых властями региона </a:t>
            </a:r>
            <a:endParaRPr/>
          </a:p>
          <a:p>
            <a:pPr algn="ctr">
              <a:defRPr sz="1400"/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/>
              <a:t>,</a:t>
            </a:r>
            <a:r>
              <a:rPr lang="ru-RU" sz="1400"/>
              <a:t> (%)</a:t>
            </a:r>
            <a:endParaRPr/>
          </a:p>
        </c:rich>
      </c:tx>
      <c:layout>
        <c:manualLayout>
          <c:xMode val="edge"/>
          <c:yMode val="edge"/>
          <c:x val="0.19153999999999999"/>
          <c:y val="0.016199999999999999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Лист1!$B$9:$B$12</c:f>
              <c:numCache>
                <c:formatCode>General</c:formatCode>
                <c:ptCount val="4"/>
                <c:pt idx="0">
                  <c:v>9</c:v>
                </c:pt>
                <c:pt idx="1">
                  <c:v>21</c:v>
                </c:pt>
                <c:pt idx="2">
                  <c:v>33</c:v>
                </c:pt>
                <c:pt idx="3">
                  <c:v>37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Лист1!$C$9:$C$12</c:f>
              <c:numCache>
                <c:formatCode>General</c:formatCode>
                <c:ptCount val="4"/>
                <c:pt idx="0">
                  <c:v>12</c:v>
                </c:pt>
                <c:pt idx="1">
                  <c:v>22</c:v>
                </c:pt>
                <c:pt idx="2">
                  <c:v>20</c:v>
                </c:pt>
                <c:pt idx="3">
                  <c:v>46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Лист1!$A$9:$A$12</c:f>
              <c:strCache>
                <c:ptCount val="4"/>
                <c:pt idx="0">
                  <c:v xml:space="preserve">Известно, постоянно слежу за этим</c:v>
                </c:pt>
                <c:pt idx="1">
                  <c:v xml:space="preserve">Известно, но постоянно не слежу за этим</c:v>
                </c:pt>
                <c:pt idx="2">
                  <c:v xml:space="preserve">Что-то слышал (слышала), но ничего определенного припомнить не могу</c:v>
                </c:pt>
                <c:pt idx="3">
                  <c:v xml:space="preserve">Ничего не знаю об этом</c:v>
                </c:pt>
              </c:strCache>
            </c:strRef>
          </c:cat>
          <c:val>
            <c:numRef>
              <c:f>Лист1!$D$9:$D$12</c:f>
              <c:numCache>
                <c:formatCode>General</c:formatCode>
                <c:ptCount val="4"/>
                <c:pt idx="0">
                  <c:v>24</c:v>
                </c:pt>
                <c:pt idx="1">
                  <c:v>31</c:v>
                </c:pt>
                <c:pt idx="2">
                  <c:v>17</c:v>
                </c:pt>
                <c:pt idx="3">
                  <c:v>27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1"/>
        <c:axId val="524685024"/>
        <c:axId val="524683848"/>
      </c:barChart>
      <c:catAx>
        <c:axId val="5246850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3848"/>
        <c:crosses val="autoZero"/>
        <c:auto val="1"/>
        <c:lblAlgn val="ctr"/>
        <c:lblOffset val="100"/>
        <c:noMultiLvlLbl val="0"/>
      </c:catAx>
      <c:valAx>
        <c:axId val="52468384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85024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4" cy="391794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600" b="1" i="0" u="none" strike="noStrike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Оценка населением эффективности принимаемых антикоррупционных мер в Оренбургской области</a:t>
            </a:r>
            <a:r>
              <a:rPr lang="ru-RU" sz="1400" b="1" i="0" u="none" strike="noStrike"/>
              <a:t>,</a:t>
            </a:r>
            <a:r>
              <a:rPr lang="ru-RU" sz="1400"/>
              <a:t> </a:t>
            </a:r>
            <a:r>
              <a:rPr lang="ru-RU" sz="1400" b="1" i="0"/>
              <a:t>(%)</a:t>
            </a:r>
            <a:endParaRPr lang="ru-RU" sz="1400"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600" b="1" i="0" u="none" strike="noStrike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Лист1!$B$16:$B$17</c:f>
              <c:numCache>
                <c:formatCode>General</c:formatCode>
                <c:ptCount val="2"/>
                <c:pt idx="0">
                  <c:v>12</c:v>
                </c:pt>
                <c:pt idx="1">
                  <c:v>25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Лист1!$C$16:$C$17</c:f>
              <c:numCache>
                <c:formatCode>General</c:formatCode>
                <c:ptCount val="2"/>
                <c:pt idx="0">
                  <c:v>22</c:v>
                </c:pt>
                <c:pt idx="1">
                  <c:v>31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Лист1!$A$16:$A$17</c:f>
              <c:strCache>
                <c:ptCount val="2"/>
                <c:pt idx="0">
                  <c:v xml:space="preserve">Власти делают все возможное</c:v>
                </c:pt>
                <c:pt idx="1">
                  <c:v xml:space="preserve">Власти делают много</c:v>
                </c:pt>
              </c:strCache>
            </c:strRef>
          </c:cat>
          <c:val>
            <c:numRef>
              <c:f>Лист1!$D$16:$D$17</c:f>
              <c:numCache>
                <c:formatCode>General</c:formatCode>
                <c:ptCount val="2"/>
                <c:pt idx="0">
                  <c:v>9</c:v>
                </c:pt>
                <c:pt idx="1">
                  <c:v>13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1"/>
        <c:axId val="1866169509"/>
        <c:axId val="1866169510"/>
      </c:barChart>
      <c:catAx>
        <c:axId val="186616950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10"/>
        <c:crosses val="autoZero"/>
        <c:auto val="1"/>
        <c:lblAlgn val="ctr"/>
        <c:lblOffset val="100"/>
        <c:noMultiLvlLbl val="0"/>
      </c:catAx>
      <c:valAx>
        <c:axId val="186616951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0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91524" cy="2902221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Оценка представителями бизнеса эффективности принимаемых властями региона мер </a:t>
            </a:r>
            <a:endParaRPr/>
          </a:p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>
                <a:solidFill>
                  <a:sysClr val="windowText" lastClr="000000">
                    <a:lumMod val="65000"/>
                    <a:lumOff val="35000"/>
                  </a:sysClr>
                </a:solidFill>
              </a:defRPr>
            </a:pPr>
            <a:r>
              <a:rPr lang="ru-RU" sz="1400"/>
              <a:t>по противодействию коррупции</a:t>
            </a:r>
            <a:r>
              <a:rPr lang="ru-RU" sz="1400" b="1" i="0" u="none" strike="noStrike"/>
              <a:t>,</a:t>
            </a:r>
            <a:r>
              <a:rPr lang="ru-RU" sz="1400"/>
              <a:t> </a:t>
            </a:r>
            <a:r>
              <a:rPr lang="ru-RU" sz="1400" b="1" i="0"/>
              <a:t>(%)</a:t>
            </a:r>
            <a:endParaRPr lang="ru-RU" sz="1400"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 (контрэффективны)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Лист1!$B$21:$B$26</c:f>
              <c:numCache>
                <c:formatCode>General</c:formatCode>
                <c:ptCount val="6"/>
                <c:pt idx="0">
                  <c:v>32</c:v>
                </c:pt>
                <c:pt idx="1">
                  <c:v>5</c:v>
                </c:pt>
                <c:pt idx="2">
                  <c:v>17</c:v>
                </c:pt>
                <c:pt idx="3">
                  <c:v>15</c:v>
                </c:pt>
                <c:pt idx="4">
                  <c:v>20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 (контрэффективны)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Лист1!$C$21:$C$26</c:f>
              <c:numCache>
                <c:formatCode>General</c:formatCode>
                <c:ptCount val="6"/>
                <c:pt idx="0">
                  <c:v>32</c:v>
                </c:pt>
                <c:pt idx="1">
                  <c:v>2</c:v>
                </c:pt>
                <c:pt idx="2">
                  <c:v>7</c:v>
                </c:pt>
                <c:pt idx="3">
                  <c:v>15</c:v>
                </c:pt>
                <c:pt idx="4">
                  <c:v>27</c:v>
                </c:pt>
                <c:pt idx="5">
                  <c:v>13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5" rIns="38096" bIns="19045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Лист1!$A$21:$A$26</c:f>
              <c:strCache>
                <c:ptCount val="6"/>
                <c:pt idx="0">
                  <c:v xml:space="preserve">Затрудняюсь ответить</c:v>
                </c:pt>
                <c:pt idx="1">
                  <c:v xml:space="preserve">Ухудшающими ситуацию (контрэффективны)</c:v>
                </c:pt>
                <c:pt idx="2">
                  <c:v xml:space="preserve">Абсолютно неэффективны</c:v>
                </c:pt>
                <c:pt idx="3">
                  <c:v xml:space="preserve">Скорее неэффективны</c:v>
                </c:pt>
                <c:pt idx="4">
                  <c:v xml:space="preserve">Скорее эффективны</c:v>
                </c:pt>
                <c:pt idx="5">
                  <c:v xml:space="preserve">Очень эффективны</c:v>
                </c:pt>
              </c:strCache>
            </c:strRef>
          </c:cat>
          <c:val>
            <c:numRef>
              <c:f>Лист1!$D$21:$D$26</c:f>
              <c:numCache>
                <c:formatCode>General</c:formatCode>
                <c:ptCount val="6"/>
                <c:pt idx="0">
                  <c:v>34</c:v>
                </c:pt>
                <c:pt idx="1">
                  <c:v>2</c:v>
                </c:pt>
                <c:pt idx="2">
                  <c:v>15</c:v>
                </c:pt>
                <c:pt idx="3">
                  <c:v>18</c:v>
                </c:pt>
                <c:pt idx="4">
                  <c:v>21</c:v>
                </c:pt>
                <c:pt idx="5">
                  <c:v>9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0"/>
        <c:axId val="1866169475"/>
        <c:axId val="1866169476"/>
      </c:barChart>
      <c:catAx>
        <c:axId val="186616947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6"/>
        <c:crosses val="autoZero"/>
        <c:auto val="1"/>
        <c:lblAlgn val="ctr"/>
        <c:lblOffset val="100"/>
        <c:noMultiLvlLbl val="0"/>
      </c:catAx>
      <c:valAx>
        <c:axId val="1866169476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75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85469" cy="380945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marL="0" marR="0" lvl="0" indent="0" algn="ctr" defTabSz="914400">
              <a:lnSpc>
                <a:spcPct val="100000"/>
              </a:lnSpc>
              <a:spcBef>
                <a:spcPts val="0"/>
              </a:spcBef>
              <a:spcAft>
                <a:spcPts val="0"/>
              </a:spcAft>
              <a:buClrTx/>
              <a:buSzTx/>
              <a:buFontTx/>
              <a:buNone/>
              <a:defRPr sz="1400" b="1" i="0" u="none" strike="noStrike">
                <a:solidFill>
                  <a:sysClr val="windowText" lastClr="000000">
                    <a:lumMod val="65000"/>
                    <a:lumOff val="35000"/>
                  </a:sys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Оценка уровня коррумпированности органов власти Оренбургской области</a:t>
            </a:r>
            <a:r>
              <a:rPr lang="ru-RU" sz="1400" b="1" i="0" u="none" strike="noStrike"/>
              <a:t>,</a:t>
            </a:r>
            <a:r>
              <a:rPr lang="ru-RU" sz="1400"/>
              <a:t> </a:t>
            </a:r>
            <a:r>
              <a:rPr lang="ru-RU" sz="1400" b="1" i="0"/>
              <a:t>(%)</a:t>
            </a:r>
            <a:endParaRPr lang="ru-RU" sz="1400"/>
          </a:p>
        </c:rich>
      </c:tx>
      <c:layout>
        <c:manualLayout>
          <c:x val="-0.00133"/>
          <c:y val="-0.0080499999999999999"/>
        </c:manualLayout>
      </c:layout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marL="0" marR="0" lvl="0" indent="0" algn="ctr" defTabSz="914400">
            <a:lnSpc>
              <a:spcPct val="100000"/>
            </a:lnSpc>
            <a:spcBef>
              <a:spcPts val="0"/>
            </a:spcBef>
            <a:spcAft>
              <a:spcPts val="0"/>
            </a:spcAft>
            <a:buClrTx/>
            <a:buSzTx/>
            <a:buFontTx/>
            <a:buNone/>
            <a:defRPr sz="1400" b="1" i="0" u="none" strike="noStrike">
              <a:solidFill>
                <a:sysClr val="windowText" lastClr="000000">
                  <a:lumMod val="65000"/>
                  <a:lumOff val="35000"/>
                </a:sys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0.058650000000000001"/>
          <c:y val="0.23622000000000001"/>
          <c:w val="0.92047999999999996"/>
          <c:h val="0.5969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Лист1!$B$30:$B$31</c:f>
              <c:numCache>
                <c:formatCode>General</c:formatCode>
                <c:ptCount val="2"/>
                <c:pt idx="0">
                  <c:v>3</c:v>
                </c:pt>
                <c:pt idx="1">
                  <c:v>40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Лист1!$C$30:$C$31</c:f>
              <c:numCache>
                <c:formatCode>General</c:formatCode>
                <c:ptCount val="2"/>
                <c:pt idx="0">
                  <c:v>8</c:v>
                </c:pt>
                <c:pt idx="1">
                  <c:v>53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Лист1!$A$30:$A$31</c:f>
              <c:strCache>
                <c:ptCount val="2"/>
                <c:pt idx="0">
                  <c:v xml:space="preserve">Власти Оренбургской области честные</c:v>
                </c:pt>
                <c:pt idx="1">
                  <c:v xml:space="preserve">Власти Оренбургской области довольно честные</c:v>
                </c:pt>
              </c:strCache>
            </c:strRef>
          </c:cat>
          <c:val>
            <c:numRef>
              <c:f>Лист1!$D$30:$D$31</c:f>
              <c:numCache>
                <c:formatCode>General</c:formatCode>
                <c:ptCount val="2"/>
                <c:pt idx="0">
                  <c:v>6</c:v>
                </c:pt>
                <c:pt idx="1">
                  <c:v>26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1"/>
        <c:axId val="524699136"/>
        <c:axId val="524699920"/>
      </c:barChart>
      <c:catAx>
        <c:axId val="524699136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920"/>
        <c:crosses val="autoZero"/>
        <c:auto val="1"/>
        <c:lblAlgn val="ctr"/>
        <c:lblOffset val="100"/>
        <c:noMultiLvlLbl val="0"/>
      </c:catAx>
      <c:valAx>
        <c:axId val="52469992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9136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4" cy="2957879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 algn="ctr">
              <a:defRPr sz="1400" b="1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Результаты обращений в государственные </a:t>
            </a:r>
            <a:endParaRPr/>
          </a:p>
          <a:p>
            <a:pPr algn="ctr">
              <a:defRPr sz="1400"/>
            </a:pPr>
            <a:r>
              <a:rPr lang="ru-RU" sz="1400"/>
              <a:t>и муниципальные учреждения</a:t>
            </a:r>
            <a:r>
              <a:rPr lang="ru-RU" sz="1400" b="1" i="0" u="none" strike="noStrike"/>
              <a:t>,</a:t>
            </a:r>
            <a:r>
              <a:rPr lang="ru-RU" sz="1400"/>
              <a:t> (%)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 algn="ctr">
            <a:defRPr sz="1400" b="1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6" rIns="38096" bIns="19046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Лист1!$B$35:$B$38</c:f>
              <c:numCache>
                <c:formatCode>General</c:formatCode>
                <c:ptCount val="4"/>
                <c:pt idx="0">
                  <c:v>53</c:v>
                </c:pt>
                <c:pt idx="1">
                  <c:v>32</c:v>
                </c:pt>
                <c:pt idx="2">
                  <c:v>8</c:v>
                </c:pt>
                <c:pt idx="3">
                  <c:v>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6" rIns="38096" bIns="19046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Лист1!$C$35:$C$38</c:f>
              <c:numCache>
                <c:formatCode>General</c:formatCode>
                <c:ptCount val="4"/>
                <c:pt idx="0">
                  <c:v>59</c:v>
                </c:pt>
                <c:pt idx="1">
                  <c:v>26</c:v>
                </c:pt>
                <c:pt idx="2">
                  <c:v>7</c:v>
                </c:pt>
                <c:pt idx="3">
                  <c:v>6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6" tIns="19046" rIns="38096" bIns="19046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>Лист1!$A$35:$A$38</c:f>
              <c:strCache>
                <c:ptCount val="4"/>
                <c:pt idx="0">
                  <c:v xml:space="preserve">Полностью удовлетворены</c:v>
                </c:pt>
                <c:pt idx="1">
                  <c:v xml:space="preserve">Частично удовлетворены</c:v>
                </c:pt>
                <c:pt idx="2">
                  <c:v xml:space="preserve">Совсем не удовлетворены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>Лист1!$D$35:$D$38</c:f>
              <c:numCache>
                <c:formatCode>General</c:formatCode>
                <c:ptCount val="4"/>
                <c:pt idx="0">
                  <c:v>56</c:v>
                </c:pt>
                <c:pt idx="1">
                  <c:v>27</c:v>
                </c:pt>
                <c:pt idx="2">
                  <c:v>15</c:v>
                </c:pt>
                <c:pt idx="3">
                  <c:v>1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0"/>
        <c:axId val="1866169529"/>
        <c:axId val="1866169530"/>
      </c:barChart>
      <c:catAx>
        <c:axId val="186616952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30"/>
        <c:crosses val="autoZero"/>
        <c:auto val="1"/>
        <c:lblAlgn val="ctr"/>
        <c:lblOffset val="100"/>
        <c:noMultiLvlLbl val="0"/>
      </c:catAx>
      <c:valAx>
        <c:axId val="1866169530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529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939784" cy="3901434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Основные результаты от бытовой коррупции, (%)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'Лист1 (2)'!$B$1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государственной структры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(2)'!$B$42:$B$47</c:f>
              <c:numCache>
                <c:formatCode>General</c:formatCode>
                <c:ptCount val="6"/>
                <c:pt idx="0">
                  <c:v>41</c:v>
                </c:pt>
                <c:pt idx="1">
                  <c:v>13</c:v>
                </c:pt>
                <c:pt idx="2">
                  <c:v>9</c:v>
                </c:pt>
                <c:pt idx="3">
                  <c:v>12</c:v>
                </c:pt>
                <c:pt idx="4">
                  <c:v>14</c:v>
                </c:pt>
                <c:pt idx="5">
                  <c:v>7</c:v>
                </c:pt>
              </c:numCache>
            </c:numRef>
          </c:val>
        </c:ser>
        <c:ser>
          <c:idx val="1"/>
          <c:order val="1"/>
          <c:tx>
            <c:strRef>
              <c:f xml:space="preserve">'Лист1 (2)'!$C$1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государственной структры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(2)'!$C$42:$C$47</c:f>
              <c:numCache>
                <c:formatCode>General</c:formatCode>
                <c:ptCount val="6"/>
                <c:pt idx="0">
                  <c:v>33</c:v>
                </c:pt>
                <c:pt idx="1">
                  <c:v>20</c:v>
                </c:pt>
                <c:pt idx="2">
                  <c:v>13</c:v>
                </c:pt>
                <c:pt idx="3">
                  <c:v>17</c:v>
                </c:pt>
                <c:pt idx="4">
                  <c:v>5</c:v>
                </c:pt>
                <c:pt idx="5">
                  <c:v>8</c:v>
                </c:pt>
              </c:numCache>
            </c:numRef>
          </c:val>
        </c:ser>
        <c:ser>
          <c:idx val="2"/>
          <c:order val="2"/>
          <c:tx>
            <c:strRef>
              <c:f xml:space="preserve">'Лист1 (2)'!$D$1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7" tIns="19047" rIns="38097" bIns="19047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(2)'!$A$42:$A$47</c:f>
              <c:strCache>
                <c:ptCount val="6"/>
                <c:pt idx="0">
                  <c:v xml:space="preserve">Ускорение решения проблемы</c:v>
                </c:pt>
                <c:pt idx="1">
                  <c:v xml:space="preserve">Минимизация трудностей при решении проблемы</c:v>
                </c:pt>
                <c:pt idx="2">
                  <c:v xml:space="preserve">Качественное решение проблемы</c:v>
                </c:pt>
                <c:pt idx="3">
                  <c:v xml:space="preserve">Получение результата, который и так закреплен за функционалом государственной структры</c:v>
                </c:pt>
                <c:pt idx="4">
                  <c:v xml:space="preserve">Взятка ничего не гарантирует</c:v>
                </c:pt>
                <c:pt idx="5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(2)'!$D$42:$D$47</c:f>
              <c:numCache>
                <c:formatCode>General</c:formatCode>
                <c:ptCount val="6"/>
                <c:pt idx="0">
                  <c:v>34</c:v>
                </c:pt>
                <c:pt idx="1">
                  <c:v>9</c:v>
                </c:pt>
                <c:pt idx="2">
                  <c:v>14</c:v>
                </c:pt>
                <c:pt idx="3">
                  <c:v>12</c:v>
                </c:pt>
                <c:pt idx="4">
                  <c:v>22</c:v>
                </c:pt>
                <c:pt idx="5">
                  <c:v>6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21"/>
        <c:axId val="524701488"/>
        <c:axId val="524695608"/>
      </c:barChart>
      <c:catAx>
        <c:axId val="5247014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695608"/>
        <c:crosses val="autoZero"/>
        <c:auto val="1"/>
        <c:lblAlgn val="ctr"/>
        <c:lblOffset val="100"/>
        <c:noMultiLvlLbl val="0"/>
      </c:catAx>
      <c:valAx>
        <c:axId val="52469560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524701488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6027912" cy="3772762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mc="http://schemas.openxmlformats.org/markup-compatibility/2006" xmlns:c14="http://schemas.microsoft.com/office/drawing/2007/8/2/chart">
  <c:date1904 val="0"/>
  <c:lang val="ru-RU"/>
  <c:roundedCorners val="0"/>
  <mc:AlternateContent>
    <mc:Choice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+mn-ea"/>
                <a:cs typeface="+mn-cs"/>
              </a:defRPr>
            </a:pPr>
            <a:r>
              <a:rPr lang="ru-RU" sz="1400"/>
              <a:t>Причины распространения коррупции, (%)</a:t>
            </a:r>
            <a:endParaRPr/>
          </a:p>
        </c:rich>
      </c:tx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 xml:space="preserve">'Лист1 (2)'!$B$1</c:f>
              <c:strCache>
                <c:ptCount val="1"/>
                <c:pt idx="0">
                  <c:v>2021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(2)'!$B$35:$B$38</c:f>
              <c:numCache>
                <c:formatCode>General</c:formatCode>
                <c:ptCount val="4"/>
                <c:pt idx="0">
                  <c:v>40</c:v>
                </c:pt>
                <c:pt idx="1">
                  <c:v>18</c:v>
                </c:pt>
                <c:pt idx="2">
                  <c:v>13</c:v>
                </c:pt>
                <c:pt idx="3">
                  <c:v>25</c:v>
                </c:pt>
              </c:numCache>
            </c:numRef>
          </c:val>
        </c:ser>
        <c:ser>
          <c:idx val="1"/>
          <c:order val="1"/>
          <c:tx>
            <c:strRef>
              <c:f xml:space="preserve">'Лист1 (2)'!$C$1</c:f>
              <c:strCache>
                <c:ptCount val="1"/>
                <c:pt idx="0">
                  <c:v>2022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(2)'!$C$35:$C$38</c:f>
              <c:numCache>
                <c:formatCode>General</c:formatCode>
                <c:ptCount val="4"/>
                <c:pt idx="0">
                  <c:v>31</c:v>
                </c:pt>
                <c:pt idx="1">
                  <c:v>17</c:v>
                </c:pt>
                <c:pt idx="2">
                  <c:v>6</c:v>
                </c:pt>
                <c:pt idx="3">
                  <c:v>44</c:v>
                </c:pt>
              </c:numCache>
            </c:numRef>
          </c:val>
        </c:ser>
        <c:ser>
          <c:idx val="2"/>
          <c:order val="2"/>
          <c:tx>
            <c:strRef>
              <c:f xml:space="preserve">'Лист1 (2)'!$D$1</c:f>
              <c:strCache>
                <c:ptCount val="1"/>
                <c:pt idx="0">
                  <c:v>2023</c:v>
                </c:pt>
              </c:strCache>
            </c:strRef>
          </c:tx>
          <c:spPr bwMode="auto">
            <a:prstGeom prst="rect">
              <a:avLst/>
            </a:prstGeom>
            <a:gradFill>
              <a:gsLst>
                <a:gs pos="0">
                  <a:schemeClr val="accent3">
                    <a:satMod val="103000"/>
                    <a:lumMod val="102000"/>
                    <a:tint val="94000"/>
                  </a:schemeClr>
                </a:gs>
                <a:gs pos="50000">
                  <a:schemeClr val="accent3">
                    <a:satMod val="110000"/>
                    <a:lumMod val="100000"/>
                    <a:shade val="100000"/>
                  </a:schemeClr>
                </a:gs>
                <a:gs pos="100000">
                  <a:schemeClr val="accent3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Pos val="outEnd"/>
            <c:showBubbleSize val="0"/>
            <c:showCatName val="0"/>
            <c:showLeaderLines val="0"/>
            <c:showLegendKey val="0"/>
            <c:showPercent val="0"/>
            <c:showSerName val="0"/>
            <c:showVal val="1"/>
            <c:spPr bwMode="auto">
              <a:prstGeom prst="rect">
                <a:avLst/>
              </a:prstGeom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095" tIns="19044" rIns="38095" bIns="19044" anchor="ctr" anchorCtr="1">
                <a:spAutoFit/>
              </a:bodyPr>
              <a:lstStyle/>
              <a:p>
                <a:pPr>
                  <a:defRPr sz="900" b="0" i="0" u="none" strike="noStrike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/>
                    <a:ea typeface="+mn-ea"/>
                    <a:cs typeface="+mn-cs"/>
                  </a:defRPr>
                </a:pPr>
                <a:endParaRPr lang="ru-RU"/>
              </a:p>
            </c:txPr>
          </c:dLbls>
          <c:cat>
            <c:strRef>
              <c:f xml:space="preserve">'Лист1 (2)'!$A$35:$A$38</c:f>
              <c:strCache>
                <c:ptCount val="4"/>
                <c:pt idx="0">
                  <c:v xml:space="preserve">Алчность чиновников, должностных лиц</c:v>
                </c:pt>
                <c:pt idx="1">
                  <c:v xml:space="preserve">Сложившиеся традиции в обществе, особенности культуры, менталитета</c:v>
                </c:pt>
                <c:pt idx="2">
                  <c:v xml:space="preserve">Сложное, противоречивое законодательство</c:v>
                </c:pt>
                <c:pt idx="3">
                  <c:v xml:space="preserve">Затрудняюсь ответить</c:v>
                </c:pt>
              </c:strCache>
            </c:strRef>
          </c:cat>
          <c:val>
            <c:numRef>
              <c:f xml:space="preserve">'Лист1 (2)'!$D$35:$D$38</c:f>
              <c:numCache>
                <c:formatCode>General</c:formatCode>
                <c:ptCount val="4"/>
                <c:pt idx="0">
                  <c:v>33</c:v>
                </c:pt>
                <c:pt idx="1">
                  <c:v>22</c:v>
                </c:pt>
                <c:pt idx="2">
                  <c:v>15</c:v>
                </c:pt>
                <c:pt idx="3">
                  <c:v>27</c:v>
                </c:pt>
              </c:numCache>
            </c:numRef>
          </c:val>
        </c:ser>
        <c:dLbls>
          <c:dLblPos val="outEnd"/>
          <c:showBubbleSize val="0"/>
          <c:showCatName val="0"/>
          <c:showLeaderLines val="0"/>
          <c:showLegendKey val="0"/>
          <c:showPercent val="0"/>
          <c:showSerName val="0"/>
          <c:showVal val="1"/>
        </c:dLbls>
        <c:gapWidth val="100"/>
        <c:overlap val="-19"/>
        <c:axId val="1866169497"/>
        <c:axId val="1866169498"/>
      </c:barChart>
      <c:catAx>
        <c:axId val="186616949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 w="12700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8"/>
        <c:crosses val="autoZero"/>
        <c:auto val="1"/>
        <c:lblAlgn val="ctr"/>
        <c:lblOffset val="100"/>
        <c:noMultiLvlLbl val="0"/>
      </c:catAx>
      <c:valAx>
        <c:axId val="1866169498"/>
        <c:scaling>
          <c:orientation val="minMax"/>
        </c:scaling>
        <c:delete val="0"/>
        <c:axPos val="l"/>
        <c:majorGridlines>
          <c:spPr bwMode="auto">
            <a:prstGeom prst="rect">
              <a:avLst/>
            </a:prstGeom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 bwMode="auto">
          <a:prstGeom prst="rect">
            <a:avLst/>
          </a:prstGeom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>
                <a:solidFill>
                  <a:schemeClr val="tx1">
                    <a:lumMod val="65000"/>
                    <a:lumOff val="35000"/>
                  </a:schemeClr>
                </a:solidFill>
                <a:latin typeface="Times New Roman"/>
                <a:ea typeface="Arial"/>
                <a:cs typeface="Arial"/>
              </a:defRPr>
            </a:pPr>
            <a:endParaRPr lang="ru-RU"/>
          </a:p>
        </c:txPr>
        <c:crossAx val="1866169497"/>
        <c:crosses val="autoZero"/>
        <c:crossBetween val="between"/>
      </c:valAx>
      <c:spPr bwMode="auto">
        <a:prstGeom prst="rect">
          <a:avLst/>
        </a:prstGeom>
        <a:noFill/>
        <a:ln>
          <a:noFill/>
        </a:ln>
        <a:effectLst/>
      </c:spPr>
    </c:plotArea>
    <c:legend>
      <c:legendPos val="b"/>
      <c:layout/>
      <c:overlay val="0"/>
      <c:spPr bwMode="auto">
        <a:prstGeom prst="rect">
          <a:avLst/>
        </a:prstGeom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>
              <a:solidFill>
                <a:schemeClr val="tx1">
                  <a:lumMod val="65000"/>
                  <a:lumOff val="35000"/>
                </a:schemeClr>
              </a:solidFill>
              <a:latin typeface="Times New Roman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 bwMode="auto">
    <a:xfrm>
      <a:off x="0" y="0"/>
      <a:ext cx="5808912" cy="4010205"/>
    </a:xfrm>
    <a:prstGeom prst="rect">
      <a:avLst/>
    </a:prstGeom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atin typeface="Times New Roman"/>
        </a:defRPr>
      </a:pPr>
      <a:endParaRPr lang="ru-RU"/>
    </a:p>
  </c:txPr>
  <c:externalData r:id="rId1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2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3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4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5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6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7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charts/style8.xml><?xml version="1.0" encoding="utf-8"?>
<cs:chartStyle xmlns:cs="http://schemas.microsoft.com/office/drawing/2012/chartStyle" xmlns:a="http://schemas.openxmlformats.org/drawingml/2006/main" id="340">
  <cs:axisTitle>
    <cs:lnRef idx="0"/>
    <cs:fillRef idx="0"/>
    <cs:effectRef idx="0"/>
    <cs:fontRef idx="minor">
      <a:schemeClr val="tx1">
        <a:lumMod val="65000"/>
        <a:lumOff val="35000"/>
      </a:schemeClr>
    </cs:fontRef>
    <cs:defRPr sz="9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ategoryAxis>
  <cs:chartArea>
    <cs:lnRef idx="0"/>
    <cs:fillRef idx="0"/>
    <cs:effectRef idx="0"/>
    <cs:fontRef idx="minor">
      <a:schemeClr val="tx2"/>
    </cs:fontRef>
    <cs:spPr bwMode="auto">
      <a:prstGeom prst="rect">
        <a:avLst/>
      </a:prstGeom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/>
  </cs:dataLabel>
  <cs:dataPoint>
    <cs:lnRef idx="0"/>
    <cs:fillRef idx="3">
      <cs:styleClr val="auto"/>
    </cs:fillRef>
    <cs:effectRef idx="3"/>
    <cs:fontRef idx="minor">
      <a:schemeClr val="lt1"/>
    </cs:fontRef>
  </cs:dataPoint>
  <cs:dataPoint3D>
    <cs:lnRef idx="0"/>
    <cs:fillRef idx="3">
      <cs:styleClr val="auto"/>
    </cs:fillRef>
    <cs:effectRef idx="3"/>
    <cs:fontRef idx="minor">
      <a:schemeClr val="lt1"/>
    </cs:fontRef>
  </cs:dataPoint3D>
  <cs:dataPointLin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3492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3">
      <cs:styleClr val="auto"/>
    </cs:fillRef>
    <cs:effectRef idx="3"/>
    <cs:fontRef idx="minor">
      <a:schemeClr val="lt1"/>
    </cs:fontRef>
    <cs:spPr bwMode="auto">
      <a:prstGeom prst="rect">
        <a:avLst/>
      </a:prstGeom>
      <a:ln w="9525">
        <a:solidFill>
          <a:schemeClr val="phClr"/>
        </a:solidFill>
        <a:round/>
      </a:ln>
    </cs:spPr>
  </cs:dataPointMarker>
  <cs:dataPointWireframe>
    <cs:lnRef idx="0">
      <cs:styleClr val="auto"/>
    </cs:lnRef>
    <cs:fillRef idx="3"/>
    <cs:effectRef idx="3"/>
    <cs:fontRef idx="minor">
      <a:schemeClr val="lt1"/>
    </cs:fontRef>
    <cs:spPr bwMode="auto">
      <a:prstGeom prst="rect">
        <a:avLst/>
      </a:prstGeom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dataTable>
  <cs:down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lt1"/>
    </cs:fontRef>
  </cs:floor>
  <cs:gridlineMaj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/>
  </cs:legend>
  <cs:plotArea>
    <cs:lnRef idx="0"/>
    <cs:fillRef idx="0"/>
    <cs:effectRef idx="0"/>
    <cs:fontRef idx="minor">
      <a:schemeClr val="lt1"/>
    </cs:fontRef>
  </cs:plotArea>
  <cs:plotArea3D>
    <cs:lnRef idx="0"/>
    <cs:fillRef idx="0"/>
    <cs:effectRef idx="0"/>
    <cs:fontRef idx="minor">
      <a:schemeClr val="lt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spPr bwMode="auto">
      <a:prstGeom prst="rect">
        <a:avLst/>
      </a:prstGeom>
      <a:ln w="12700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/>
  </cs:seriesAxis>
  <cs:seriesLine>
    <cs:lnRef idx="0"/>
    <cs:fillRef idx="0"/>
    <cs:effectRef idx="0"/>
    <cs:fontRef idx="minor">
      <a:schemeClr val="tx1"/>
    </cs:fontRef>
    <cs:spPr bwMode="auto">
      <a:prstGeom prst="rect">
        <a:avLst/>
      </a:prstGeom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600" b="1"/>
  </cs:title>
  <cs:trendline>
    <cs:lnRef idx="0">
      <cs:styleClr val="auto"/>
    </cs:lnRef>
    <cs:fillRef idx="0"/>
    <cs:effectRef idx="0"/>
    <cs:fontRef idx="minor">
      <a:schemeClr val="lt1"/>
    </cs:fontRef>
    <cs:spPr bwMode="auto">
      <a:prstGeom prst="rect">
        <a:avLst/>
      </a:prstGeom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/>
  </cs:trendlineLabel>
  <cs:upBar>
    <cs:lnRef idx="0"/>
    <cs:fillRef idx="0"/>
    <cs:effectRef idx="0"/>
    <cs:fontRef idx="minor">
      <a:schemeClr val="dk1"/>
    </cs:fontRef>
    <cs:spPr bwMode="auto">
      <a:prstGeom prst="rect">
        <a:avLst/>
      </a:prstGeom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/>
  </cs:valueAxis>
  <cs:wall>
    <cs:lnRef idx="0"/>
    <cs:fillRef idx="0"/>
    <cs:effectRef idx="0"/>
    <cs:fontRef idx="minor">
      <a:schemeClr val="lt1"/>
    </cs:fontRef>
  </cs:wall>
  <cs:dataPointMarkerLayout symbol="circle" size="6"/>
</cs:chartStyle>
</file>

<file path=word/embeddings/_rels/Microsoft_Excel_Worksheet1.xlsx.rels><?xml version="1.0" encoding="UTF-8" standalone="yes"?><Relationships xmlns="http://schemas.openxmlformats.org/package/2006/relationships"></Relationships>
</file>

<file path=word/embeddings/_rels/Microsoft_Excel_Worksheet2.xlsx.rels><?xml version="1.0" encoding="UTF-8" standalone="yes"?><Relationships xmlns="http://schemas.openxmlformats.org/package/2006/relationships"></Relationships>
</file>

<file path=word/embeddings/_rels/Microsoft_Excel_Worksheet3.xlsx.rels><?xml version="1.0" encoding="UTF-8" standalone="yes"?><Relationships xmlns="http://schemas.openxmlformats.org/package/2006/relationships"></Relationships>
</file>

<file path=word/embeddings/_rels/Microsoft_Excel_Worksheet4.xlsx.rels><?xml version="1.0" encoding="UTF-8" standalone="yes"?><Relationships xmlns="http://schemas.openxmlformats.org/package/2006/relationships"></Relationships>
</file>

<file path=word/embeddings/_rels/Microsoft_Excel_Worksheet5.xlsx.rels><?xml version="1.0" encoding="UTF-8" standalone="yes"?><Relationships xmlns="http://schemas.openxmlformats.org/package/2006/relationships"></Relationships>
</file>

<file path=word/embeddings/_rels/Microsoft_Excel_Worksheet6.xlsx.rels><?xml version="1.0" encoding="UTF-8" standalone="yes"?><Relationships xmlns="http://schemas.openxmlformats.org/package/2006/relationships"></Relationships>
</file>

<file path=word/embeddings/_rels/Microsoft_Excel_Worksheet7.xlsx.rels><?xml version="1.0" encoding="UTF-8" standalone="yes"?><Relationships xmlns="http://schemas.openxmlformats.org/package/2006/relationships"></Relationships>
</file>

<file path=word/embeddings/_rels/Microsoft_Excel_Worksheet8.xlsx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8DBC4-E807-409C-B795-691A3C6B36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prestigio</dc:creator>
  <cp:keywords/>
  <dc:description/>
  <cp:revision>311</cp:revision>
  <dcterms:created xsi:type="dcterms:W3CDTF">2022-05-26T09:32:00Z</dcterms:created>
  <dcterms:modified xsi:type="dcterms:W3CDTF">2024-03-19T04:49:05Z</dcterms:modified>
</cp:coreProperties>
</file>