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8.xml" ContentType="application/vnd.ms-office.chartstyle+xml"/>
  <Override PartName="/word/charts/colors8.xml" ContentType="application/vnd.ms-office.chartcolorstyle+xml"/>
  <Override PartName="/word/charts/style7.xml" ContentType="application/vnd.ms-office.chartstyle+xml"/>
  <Override PartName="/word/charts/colors7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hart6.xml" ContentType="application/vnd.openxmlformats-officedocument.drawingml.chart+xml"/>
  <Override PartName="/word/charts/colors5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style2.xml" ContentType="application/vnd.ms-office.chartstyle+xml"/>
  <Override PartName="/word/charts/colors3.xml" ContentType="application/vnd.ms-office.chartcolorstyle+xml"/>
  <Override PartName="/word/charts/chart2.xml" ContentType="application/vnd.openxmlformats-officedocument.drawingml.chart+xml"/>
  <Override PartName="/word/charts/style4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colors6.xml" ContentType="application/vnd.ms-office.chartcolorstyle+xml"/>
  <Override PartName="/word/charts/style1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О результатах социологического исследования «О</w:t>
      </w:r>
      <w:r>
        <w:rPr>
          <w:rFonts w:ascii="Times New Roman" w:hAnsi="Times New Roman"/>
          <w:b/>
          <w:bCs/>
          <w:sz w:val="28"/>
          <w:szCs w:val="28"/>
        </w:rPr>
        <w:t xml:space="preserve">ценка уровня, структуры и специфики коррупции в Оренбургской области, эффективности принимаемых антикоррупционных мер», проведенного </w:t>
      </w:r>
      <w:r>
        <w:rPr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2024 году и сравнительного анализа результатов, полученных </w:t>
      </w:r>
      <w:r>
        <w:rPr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итогам исследований, проведенных в 2022, 2023 и 2024 годах</w:t>
      </w:r>
      <w:r>
        <w:rPr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__________________________________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___________________________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 w:eastAsia="Calibri" w:cs="Times New Roman"/>
          <w:bCs/>
          <w:i/>
          <w:iCs/>
          <w:sz w:val="28"/>
          <w:szCs w:val="28"/>
        </w:rPr>
        <w:t xml:space="preserve">информация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 комитета по профилактике 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коррупционных правонарушений Оренбургской области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)</w:t>
      </w:r>
      <w:r/>
    </w:p>
    <w:p>
      <w:pPr>
        <w:jc w:val="both"/>
        <w:spacing w:after="0" w:line="276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реализации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Национального плана противодействия коррупции 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региональной программы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комитетом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профилактике коррупционных правонарушений Оренбургской области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(далее – комитет) организовано проведение социологических исследований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 состоянии коррупции и эффективности мер, предпринимаемых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ее предупреждению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государственных органах и органах местного самоуправления в Оренбургской области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далее – исследование).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Ежегодное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исследований являлось одной из задач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Национальн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план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 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 2021-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2024 годы, утвержденного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Указом Президента Российской Федерации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от 16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.08.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№ 478.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Исследования проводятся с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2019 года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соответствии с методикой, утвержденной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остановлением Правительства Российской Федерации                    от 25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.05.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2019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662 и сфокусированы на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следующей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проблематике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: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«бытовая» коррупция, возникающая при взаимодействии граждан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представителей органов власти, в том числе при предоставлении государственных (муниципальных) услуг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опросе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приняли участие 600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респондент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ов);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«деловая» коррупция, возникающая при взаимодействии органов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власти и представителей бизнеса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опросе приняли участие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200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субъектов предпринимательской деятельности).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Целью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является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оценк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уровня, структуры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специфики коррупции 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Оренбургской области.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Задач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заключаются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определени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следующих показателей: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фактические значения параметров оценки коррупции, в том числе уровня коррупции в Оренбургской области;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качественно-количественная оценка коррупции в Оренбургской области;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структура коррупции в Оренбургской области;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основные характеристики коррупции в различных сферах государственного регулирования Оренбургской области;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эффективность (результативность) принимаемых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мер, направленных на противодействие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причин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 услови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проявления коррупции в регионе.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Сбор и анализ информации в рамках проведения социологического исследования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осуществлялся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12 муниципальных образовани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ях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Оренбургской области: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г. Оренбург,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г. Орск, г. Новотроицк,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г. Бузулук,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Кувандыкский муниципальный округ, Адамовский,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Грачевский,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Матвеевский,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Новоорский, Новосергиевский, Октябрьский,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Сакмарский районы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рамках подготовки к заседанию комиссии проведен сравнительный анализ результатов социологических исследований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 2022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 годы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Отношение населения к «бытовой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» и «деловой»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коррупции во многом зависит от уровня информированности, прежде всего о тех мерах, которые принимаются властями регион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 по противодействию коррупции.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939777" cy="3938265"/>
            <wp:effectExtent l="4762" t="4762" r="4762" b="476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Результаты исследования, проведенные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2024 году,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показали, что 59% респондентов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той или иной степени получают информацию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 мера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предпринимаемы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властями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противодействию коррупции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71%;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2023 – 57%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значение такого показателя, как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количество лиц, ничего не знающих о принимаемых мерах по противодействия коррупции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году составило 32%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2022 – 23%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2023 – 38%).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Таким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образом, возника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ет вопрос об эффективности проводимых мероприятий по антикоррупционному информированию и просвещению.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Учитывая тенденцию снижения показателей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комиссией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координации работы по противодействию коррупции в Оренбург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ской области в мае 2023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года и в ноябре 2024 года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рассматривались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вопросы,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связанные                                 с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обеспечением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антикоррупционн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информировани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информационного сопровождения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исполнительных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Оренбургской области по профилактике коррупционных правонарушений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Выработанные меры, направленные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повышения качества проводимых мероприятий по освещению деятельности по профилактике коррупционных правонарушений, вовлечение в указанные мероприятия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широкого круга лиц, позволили в сравнении с 2023 и 2024 годами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снизить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показатели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лиц, ничего не знающих о принимаемых мерах по противодействия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езультат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проведенного исследования в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2024 году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показывают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,            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что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77% представителей бизнеса информированы о реализуемых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в регионе мерах по противодействию коррупции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2022 – 54%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; 2023 – 72%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).</w:t>
      </w:r>
      <w:r>
        <w:rPr>
          <w:color w:val="auto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highlight w:val="none"/>
        </w:rPr>
      </w:r>
      <w:r>
        <w:rPr>
          <w:color w:val="auto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w:drawing>
          <wp:inline distT="0" distB="0" distL="0" distR="0">
            <wp:extent cx="5939782" cy="3917943"/>
            <wp:effectExtent l="4762" t="4762" r="4762" b="47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При этом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35%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респондентов в сфере «деловой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» коррупции в 202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4 году указали, что специально не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следят за информацией о мерах, которые власти принимают для противодействия коррупции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(в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2022 году этот показатель составил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– 22%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2023 – 31%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).</w:t>
      </w:r>
      <w:r>
        <w:rPr>
          <w:color w:val="auto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  <w:lang w:eastAsia="ru-RU"/>
        </w:rPr>
        <w:t xml:space="preserve">Вместе с тем, наблюдается снижение количества представителей            бизнес-сообщества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неосведомленных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о р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еализуемых в регионе мерах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по противодействию коррупции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eastAsia="ru-RU"/>
        </w:rPr>
        <w:t xml:space="preserve">.</w:t>
      </w:r>
      <w:r>
        <w:rPr>
          <w:color w:val="auto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Одним из основных направлений социологических исследований, является оценка эффективности принимаемых в регионе мер антикоррупционной направленности.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2024 году эффективной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деятельность руководства региона в сфере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противодействия коррупции признали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26% респондентов, опрошенных                         в сфере «бытовой»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53%,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2023 –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22%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ff0000"/>
          <w:lang w:eastAsia="ru-RU"/>
        </w:rPr>
      </w:r>
      <w:r>
        <w:rPr>
          <w:color w:val="ff0000"/>
          <w:lang w:eastAsia="ru-RU"/>
        </w:rPr>
        <w:drawing>
          <wp:inline distT="0" distB="0" distL="0" distR="0">
            <wp:extent cx="5837415" cy="2751744"/>
            <wp:effectExtent l="4762" t="4762" r="4762" b="476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сновываясь 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сравнительном анализе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можно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констати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ровать,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в 2024 году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наблюдается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снижение количественных показателей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бизнеса региона, считающих проводимую антикоррупционную работу неэффективной.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837415" cy="3692710"/>
            <wp:effectExtent l="4762" t="4762" r="4762" b="4762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2022 и 2023 годах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соответственно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24% 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35% участвующих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опросах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бизнеса считал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принимаемые меры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ротиводействию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коррупции являются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эффективными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то в 2024 году данный показатель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составил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33%.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3% респондентов считают действия властей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ухудшающими ситуацию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2022 и 2023 годах этот показатель составлял 2%.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по мнению 41% опрошенных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41%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2023 – 38%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власти региона стараются в меру своих полномочий бороться с различными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антикоррупционными проявлениями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На 8% снизилось количество респондентов,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придерживающихся противоположной позиции (руководство региона не стремиться решать пробл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емы коррупции)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В 2024 году данный показатель составляет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25%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2023 – 35%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определения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уровня распространенности 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укорененности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«бытовой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 в Оренбургской области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участниками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исследования осуществлена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оцен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честност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органов власти и организац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основании оценки уровня коррумпированности органов власти можно сделать вывод, что более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25% респондентов считают власти Оренбургской области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довольно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честными.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Данный показатель в 2022 году составлял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53%,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26%,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указывает на необходимость повышения эффективности проводимой антикоррупционной работы.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w:drawing>
          <wp:inline distT="0" distB="0" distL="0" distR="0">
            <wp:extent cx="5939783" cy="2957878"/>
            <wp:effectExtent l="4762" t="4762" r="4762" b="4762"/>
            <wp:docPr id="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Проведенные в 2022-2024 годах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динамики «бытовой коррупции»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показали,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порядка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40%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степень распространения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местном, региональном и федеральном уровнях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 не изменил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определения наиболее коррумпированных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сфер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при взаимодействии населения с государственными структурами, в рамках ис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следования проведена оценка уровня «бытовой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равнительный анализ результатов исследований, проведенных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период 2022-2024 годов показывает,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наиболее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часто коррупционные ситуации возника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получении бесплатной медицинской помощи              в поликлинике,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больнице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переводе из одного ВУЗа в другой, сдаче экзаменов, за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четов, защите дипломных работ;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поступлении 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дошкольные учреждения,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нужную школу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успешн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окончание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обучением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получении нужной работы и обеспечени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одвижения по службе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Вышеуказанные результаты социологического исследования, также подтверждаются проведенным комитетом анализом </w:t>
      </w:r>
      <w:r>
        <w:rPr>
          <w:rFonts w:ascii="Times New Roman" w:hAnsi="Times New Roman" w:cs="Times New Roman"/>
          <w:sz w:val="28"/>
          <w:szCs w:val="28"/>
        </w:rPr>
        <w:t xml:space="preserve">уголовных дел, возбужденных по преступлениям коррупционной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2024 году правоохранительными органами возбуждены (расследованы) уголовные дела в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13 руков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одителей учреждений (организаций), функции учредителя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которых выполняют исполнительные органы и органы местного самоуправления, из которых на момент совершения преступлений 6 являлись руководителями образовательных учреждений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(директоры МБОУ «Сузановская СОШ»,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МБОУ «Малозайкинская СОШ»,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МБОУ «Свердловская СОШ»,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МАУ ДЗОЛ «Лесная сказка»,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детского сада «Ручеек»,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заведующая МДОУ «Октябрьский детский сад «Сказка»). Также уголовные дела возбуждены в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директора ГБУ «Центральная психолого-медико педагогическая комиссия Оренбургской области»;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заведующего отделением ГАУЗ «ГКБ им. Н.И. Пирогова»,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врача -психиатра ГБУЗ «ООКПБ № 2»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color w:val="000000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езультаты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свидетельствуют о недостаточности проводимых мероприятий антикоррупционной направленности в указанных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сферах, что требует выработки дополнительных мер, направленных                              на снижение коррупционных проявлений.</w:t>
      </w:r>
      <w:r>
        <w:rPr>
          <w:iCs/>
          <w:color w:val="000000" w:themeColor="text1"/>
          <w:highlight w:val="none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этом, 55% респондентов указали удовлетворенность результатами обращения в государственные учреждения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59%;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56%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что связано с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проводимой государством работой, направленной 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развитие цифровых технологий и переводом значительной части государственных и муниципальных услуг в электронный формат.</w:t>
      </w:r>
      <w:r>
        <w:rPr>
          <w:color w:val="000000" w:themeColor="text1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939781" cy="3901431"/>
            <wp:effectExtent l="4762" t="4762" r="4762" b="4762"/>
            <wp:docPr id="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  <w:t xml:space="preserve">Вместе с тем, довольно высоким остается количество граждан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неудовлетворенных или частично удовлетворенных результатами обращения в государственные учреждения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практике создает потенциальную угрозу возникновения и использования коррупционного механизма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удовлетворения интересов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2024 году этот показатель составил 42%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33%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42%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ледует отметить, 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более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83%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указали,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не попадали в ситуацию, когда возникала необходимость решить проблему с помощью неформального вознаграждения или подарка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79%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83%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36%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готовы совершить коррупционные действия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если потребуется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стопроцентн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результат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26%;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39%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указывает на недостаточную эффективность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проводимых мероприятий по формированию нетерпимости                                     к коррупционному поведению.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Данное обстоятельство учтено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комисси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ей                по координации работы по противодействию коррупции в Оренбургской области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 Решениями комиссии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от 31.05.2023 и 20.11.2024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разработаны меры, направленные на активизацию проводимой работы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Исследование по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казало определенную информированность респондентов 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среднем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размере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взяток при взаимодействии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представителями органов власти.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сумму взятки в пределах от 5 до 15 тысяч рублей указывает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18%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7%;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Суммы, превышающие 30 тысяч рублей, обозначили 18%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19%;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15%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респондентов, основными результатами «бытовой» коррупции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2024 году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являютс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 ускорение решения проблем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(29%),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качественное решение проблемы (11%),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минимизация трудностей при решении проблемы (7%)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этом, 13% опрошенных считает, что взятка помогает получить результат, который и так закреплен за функционалом должностного лица.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более 23% респондентов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считает, что взятка ничего не гарантирует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5%;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22%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892977" cy="3665238"/>
            <wp:effectExtent l="4762" t="4762" r="4762" b="4762"/>
            <wp:docPr id="7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этой связи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целесообразно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принятие дополнительных мер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повышению качества работы при обращении граждан в государственные органы,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путем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усиления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контроля со стороны руководителей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 принятия жестких мер к виновным должностным лицам.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ходе ис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следования «деловой» коррупции проведен анализ мотивации и алгоритма поведения представителей бизнес-сообщества, в рамках которого изучены цели оказания влияния на действия (бездействие) должностных лиц посредством неформальных прямых или скрытых платежей.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Согласно данным исследования, 28%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 указали,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представители бизнеса пресле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дуют такую цель, как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«использование авторитета в силу занимаемой должности для оказания воздействия                    со стороны должностного лица»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24%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ускоренное исполнение должностным лицом своих обязанностей»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2% представителей бизнес-сообщества – «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несовершение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должностным лицом вход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ящих в его служебные полномочия действий»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Анализ форм оказания влияния на действия (бездействие) должностных лиц показал, что 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амой популярной формой оказания влияния на действия (бездействие) должностных лиц среди бизнес-сообществ являются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подарки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27%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22%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еформальные прямые и (или) скрытые платежи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отметили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17%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12%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Неформальные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услуги имущественного характера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14%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11%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25%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участников исследования,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такая форма как подарки, характерна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по архитектуре и строительству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Роспотребнадзора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21%;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налоговых органов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18%.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респондентов в 2024 году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такая форма как подарки,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не характерна для органов,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осуществляющих деятельность по охране труда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предоставляющих в аренду помещения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реализующих функции по охране природных ресурсов и окружающей среды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18%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езультаты 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проведенны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период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2022-2024 годов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показали,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10% представителей бизнеса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10%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9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неформальные платежи ничего не гарантируют.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положительный эффект от коррупционных действий отмечает 23% представителей бизнеса (2022 – 32%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22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), которые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считают,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неформальные платежи способствуют качественному решению проблемы,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минимизируют трудности при решении возникающих проблем, а также ускоряют решение возникающих вопросов.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Как следует из материалов исследования, неформальные прямые                           и (или) скрытые платежи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29%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30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%)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используют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целью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обхода обременительных требований для организации, а также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невыполнимых (противоречивых) требований законодательств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и в предыдущем периоде,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ускорения получения необходимых документов.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рамках проведения исследования изучалось мнение представителей бизнеса о коррупции в сфере осуществления государственных                                  и муниципальных закупок.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получение государственного или муниципального контракта участвовали около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19% предпринимателей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21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этом,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наибольшее число респондентов участвовали в конкурсах на муниципальном уровне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2024 – 10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На региональном и федеральном уровне              в конкурсах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опрошенных представителей бизнеса              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4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и 5% соответственно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процентном соотношение наибольшее число контрактов предпринимателями было получено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51%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3-х контрактов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чаще получали на муниципальном уровне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2024 – 29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необходимость неформальных платежей, для получения государственных контрактов, указало в среднем около 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предпринимателей, получивших контракт на том или ином уровне                  (2023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12%).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5% от стоимости контракта заплатили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(2023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предпринимателей, получивших контракты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показатель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15%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(2023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  <w:tab w:val="left" w:pos="6338" w:leader="none"/>
        </w:tabs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предпринимаемые федеральными                      и региональными властями усилия, предпринимателям приходится сталкиваться с коррупционными проявлениями при участии в сфере государственного заказа.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обеспечения принципов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конкурентности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омиссией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координации работы по противодействию коррупции в Оренбургской области выраб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атываются меры, направленные на профилактику коррупционных правонарушений в сфере закупок товаров, работ, услуг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для обеспечения государственных и муниципальных нужд, которые реализуются соответствующими специалистами исполнительных органов          и органов местного самоуправления Оренбургской области.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</w:rPr>
        <w:t xml:space="preserve">В декабре 2024 года комитетом во взаимодействии с аппаратом Губернатора и Правительства Оренбургской области организован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антикоррупционный форум: «Актуальные вопросы в сфере противодействия коррупции»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форума включала в себя обсуждение вопросов региональных и корпоративных методов противодействия коррупции, антикоррупционного поведения, в том числе психологические аспекты коррупционного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закупок товаров, работ и услуг для государственных (муниципальных)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актуальных 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трицательное отношение к коррупции в 202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 году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выразили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44%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опрошенных представителей бизнеса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43%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7%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10%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коррупция чаще мешает,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чем помогает.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Исходя из результатов исследования, 40%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выделили такую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причин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совершения коррупционных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действий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«дали понять со стороны должностного лица»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29%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37%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учи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тывают в своей практики опыт коллег из других организаций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35%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33%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28% в качестве причины назвали «так надежнее с точки зрения интересов организации»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36%;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30%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ричинами распространения коррупции, 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мнению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35% представителей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бизнес-сообщества Оренбургской области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является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алчность чиновников и должностных лиц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31%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33%)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25%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бизнеса причины видят 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сложившихся традициях в обществе, особенностях культуры,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менталитета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17%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22%)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16% причин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считают сложное, противоречивое законодательство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6%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2023 – 15%)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jc w:val="center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808911" cy="4010204"/>
            <wp:effectExtent l="4762" t="4762" r="4762" b="4762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рамках подготовки к заседанию комиссии,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проведен 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равнительный анализ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регионального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показателями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проведенного Торгово-промышленной палатой Российской Федерации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«Бизнес-барометр коррупции»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огласно данным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«Бизнес-барометра коррупции», самыми коррумпированными сферами предпринимательской деятельности являются: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закупки для государственных нужд – 38%</w:t>
      </w:r>
      <w:r>
        <w:rPr>
          <w:rFonts w:ascii="Times New Roman" w:hAnsi="Times New Roman" w:eastAsia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42%)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лучение разрешений, справок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сертификатов, лицензирование, аккредитация – 39%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36%)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контроль (надзор) за предпринимательской деятельностью, взаимодействие с проверяющими органами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34%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35%)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регистрация сделок с недвижимостью, земельные отношения – 24%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24%)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соблюдение санитарно-эпидемиологических норм – 20%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15%)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получение мер государственной поддержки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19%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19%)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природоохранная среда – 11%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(2023 – 12%)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Основными причинами рас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пространения коррупции по мнению 48% является недобросовестная конкуренция; безнаказанность чиновников                    и должностных лиц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40%;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сложное, противоречивое законодательс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тво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37%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национальные традиции и менталитет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35%;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алчность чиновников                         и должностных лиц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32%; желание иметь преимущества в бизнесе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29%; юридическая неграмотность предпринимателей в сфере противодействия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20%.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исходя из поставленных в исследованиях вопросов, причины распространения коррупции, установленные региональным исследованием, в целом идентичны данным опроса, проведенного                    Торгово-промышленной палатой Российской Федерации.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целью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исправления сложи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вшейся ситуации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по нашему мнению,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целесообразно дальнейшее совершенствование нормативно-правовой базы, нацеленной на устранение избыточного административного регулирования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бизнеса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сокращение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различных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административных барьеров при осуществлении 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редпринимательской деятельности,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четкое разграничение функций по лицензированию, контролю и государственному регулированию между различными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исполнительными органами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Необходим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дальнейшая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активиз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ация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взаимодействию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 средствами массовой информации,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направленная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освещени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по противодействию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проведению разъяснительн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ой раб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оты с населением области.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повышения эффективности работы исполнительных органов, органов местного самоуправления, необходима обратная связь с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жителями региона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существенной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составляющей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которой являются обращения граждан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органы власти. Обращения традиционно играют важную роль в процессе управления, так как с их помощью осуществляется связь с населением, контроль за деятельностью государственных органов и органов местного самоуправления, а также реализация законных прав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основании проведенных исследований, для повышения качественной составляющей показателей оценки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считаем целесообразным: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целью поддержания в общественном сознании представления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коррупции как о социальной патологии,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снижения уровня распространения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продолжить мероприятия по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формирова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нетерпимост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граждан к коррупционным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проявлениям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этих целях активизировать привлечение средств массовой информации и жителей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участию 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мероприятиях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антикоррупционной направленности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Продолжить работу с институтами гражданского общества по формировании негативного отношения к корру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пции 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жителей региона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Расширить практику получения населением государственных и муниципальных услуг в электронном формате, а также посредств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многофункциональных центров.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Принять меры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совершенствовани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регламентов оказани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государственных 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муниципальных услуг, устранени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существующих барьеров при их получении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а также упрощени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процедур лицензирования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 надзора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4. Продолжить практику пров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едения мероприятий в организациях, осуществляющих предоставление государственных и муниципальных услуг, в части повышения эффективности антикоррупционной работы, направленной на снижение количества фактов коррупционных проявлений, обратив особое внимание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выявление фактов «бытовой» коррупции, а также на освещение результатов данной работы в средствах массовой информации.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 Реализовать мероприятия, направленные на профилактику коррупционных правонарушений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в сфере закупок товаров, работ, услуг для обеспечения государственных или муниципальных нужд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pStyle w:val="86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ледует отметить,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коррупция </w:t>
      </w:r>
      <w:r>
        <w:rPr>
          <w:rFonts w:ascii="Times New Roman" w:hAnsi="Times New Roman" w:cs="Times New Roman"/>
          <w:sz w:val="28"/>
          <w:szCs w:val="28"/>
        </w:rPr>
        <w:t xml:space="preserve">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Противодействие кор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рупции представляет собой системную                          и целенаправленную деятельность исполнительных органов, органов местного самоуправления муниципальных образований, институтов гражданского общества по формированию у граждан нетерпимого о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тношения к коррупции.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298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Конкретные мероприятия включены в проект решения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по координации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противодействию корруп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                       в Оренбургской области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8908728"/>
      <w:docPartObj>
        <w:docPartGallery w:val="Page Numbers (Top of Page)"/>
        <w:docPartUnique w:val="true"/>
      </w:docPartObj>
      <w:rPr/>
    </w:sdtPr>
    <w:sdtContent>
      <w:p>
        <w:pPr>
          <w:pStyle w:val="85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11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8"/>
    <w:next w:val="848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9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8"/>
    <w:next w:val="848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9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9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9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9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9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9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9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848"/>
    <w:next w:val="848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9"/>
    <w:link w:val="692"/>
    <w:uiPriority w:val="10"/>
    <w:rPr>
      <w:sz w:val="48"/>
      <w:szCs w:val="48"/>
    </w:rPr>
  </w:style>
  <w:style w:type="paragraph" w:styleId="694">
    <w:name w:val="Subtitle"/>
    <w:basedOn w:val="848"/>
    <w:next w:val="848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9"/>
    <w:link w:val="694"/>
    <w:uiPriority w:val="11"/>
    <w:rPr>
      <w:sz w:val="24"/>
      <w:szCs w:val="24"/>
    </w:rPr>
  </w:style>
  <w:style w:type="paragraph" w:styleId="696">
    <w:name w:val="Quote"/>
    <w:basedOn w:val="848"/>
    <w:next w:val="848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8"/>
    <w:next w:val="848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9"/>
    <w:link w:val="852"/>
    <w:uiPriority w:val="99"/>
  </w:style>
  <w:style w:type="character" w:styleId="701">
    <w:name w:val="Footer Char"/>
    <w:basedOn w:val="849"/>
    <w:link w:val="854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854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Header"/>
    <w:basedOn w:val="848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9"/>
    <w:link w:val="852"/>
    <w:uiPriority w:val="99"/>
  </w:style>
  <w:style w:type="paragraph" w:styleId="854">
    <w:name w:val="Footer"/>
    <w:basedOn w:val="848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9"/>
    <w:link w:val="854"/>
    <w:uiPriority w:val="99"/>
  </w:style>
  <w:style w:type="paragraph" w:styleId="856" w:customStyle="1">
    <w:name w:val="Style4"/>
    <w:basedOn w:val="848"/>
    <w:uiPriority w:val="99"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>
    <w:name w:val="Balloon Text"/>
    <w:basedOn w:val="848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49"/>
    <w:link w:val="857"/>
    <w:uiPriority w:val="99"/>
    <w:semiHidden/>
    <w:rPr>
      <w:rFonts w:ascii="Segoe UI" w:hAnsi="Segoe UI" w:cs="Segoe UI"/>
      <w:sz w:val="18"/>
      <w:szCs w:val="18"/>
    </w:rPr>
  </w:style>
  <w:style w:type="character" w:styleId="859" w:customStyle="1">
    <w:name w:val="Font Style27"/>
    <w:uiPriority w:val="99"/>
    <w:qFormat/>
    <w:rPr>
      <w:rFonts w:ascii="Times New Roman" w:hAnsi="Times New Roman"/>
      <w:sz w:val="26"/>
    </w:rPr>
  </w:style>
  <w:style w:type="paragraph" w:styleId="860" w:customStyle="1">
    <w:name w:val="Style7"/>
    <w:basedOn w:val="848"/>
    <w:uiPriority w:val="99"/>
    <w:pPr>
      <w:spacing w:after="0" w:line="293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1" w:customStyle="1">
    <w:name w:val="Font Style32"/>
    <w:uiPriority w:val="99"/>
    <w:rPr>
      <w:rFonts w:ascii="Times New Roman" w:hAnsi="Times New Roman"/>
      <w:sz w:val="22"/>
    </w:rPr>
  </w:style>
  <w:style w:type="paragraph" w:styleId="862" w:customStyle="1">
    <w:name w:val="Style3"/>
    <w:basedOn w:val="84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Normal (Web)"/>
    <w:basedOn w:val="84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Font Style33"/>
    <w:uiPriority w:val="99"/>
    <w:rPr>
      <w:rFonts w:ascii="Times New Roman" w:hAnsi="Times New Roman"/>
      <w:sz w:val="22"/>
    </w:rPr>
  </w:style>
  <w:style w:type="paragraph" w:styleId="866">
    <w:name w:val="List Paragraph"/>
    <w:basedOn w:val="848"/>
    <w:uiPriority w:val="34"/>
    <w:qFormat/>
    <w:pPr>
      <w:contextualSpacing/>
      <w:ind w:left="720"/>
    </w:pPr>
  </w:style>
  <w:style w:type="paragraph" w:styleId="867" w:customStyle="1">
    <w:name w:val="Знак"/>
    <w:basedOn w:val="848"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68" w:customStyle="1">
    <w:name w:val="ConsPlusNormal"/>
    <w:link w:val="7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Relationship Id="rId15" Type="http://schemas.openxmlformats.org/officeDocument/2006/relationships/chart" Target="charts/chart5.xml" /><Relationship Id="rId16" Type="http://schemas.openxmlformats.org/officeDocument/2006/relationships/chart" Target="charts/chart6.xml" /><Relationship Id="rId17" Type="http://schemas.openxmlformats.org/officeDocument/2006/relationships/chart" Target="charts/chart7.xml" /><Relationship Id="rId18" Type="http://schemas.openxmlformats.org/officeDocument/2006/relationships/chart" Target="charts/chart8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microsoft.com/office/2011/relationships/chartStyle" Target="style4.xml" /><Relationship Id="rId2" Type="http://schemas.microsoft.com/office/2011/relationships/chartColorStyle" Target="colors4.xml" /><Relationship Id="rId3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microsoft.com/office/2011/relationships/chartStyle" Target="style5.xml" /><Relationship Id="rId2" Type="http://schemas.microsoft.com/office/2011/relationships/chartColorStyle" Target="colors5.xml" /><Relationship Id="rId3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microsoft.com/office/2011/relationships/chartStyle" Target="style6.xml" /><Relationship Id="rId2" Type="http://schemas.microsoft.com/office/2011/relationships/chartColorStyle" Target="colors6.xml" /><Relationship Id="rId3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microsoft.com/office/2011/relationships/chartStyle" Target="style7.xml" /><Relationship Id="rId2" Type="http://schemas.microsoft.com/office/2011/relationships/chartColorStyle" Target="colors7.xml" /><Relationship Id="rId3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microsoft.com/office/2011/relationships/chartStyle" Target="style8.xml" /><Relationship Id="rId2" Type="http://schemas.microsoft.com/office/2011/relationships/chartColorStyle" Target="colors8.xml" /><Relationship Id="rId3" Type="http://schemas.openxmlformats.org/officeDocument/2006/relationships/package" Target="../embeddings/Microsoft_Excel_Worksheet8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Информированность населения о мерах, принимаемых властями региона по противодействию коррупции,</a:t>
            </a:r>
            <a:r>
              <a:rPr lang="en-US" sz="1400" b="1">
                <a:solidFill>
                  <a:schemeClr val="tx1"/>
                </a:solidFill>
              </a:rPr>
              <a:t> (%)</a:t>
            </a:r>
            <a:endParaRPr sz="14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0754"/>
          <c:y val="0.03065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'Лист1'!$A$2:$A$6</c:f>
              <c:strCache>
                <c:ptCount val="5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  <c:pt idx="4">
                  <c:v xml:space="preserve">Затрудняюсь ответить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'Лист1'!$A$2:$A$6</c:f>
              <c:strCache>
                <c:ptCount val="5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  <c:pt idx="4">
                  <c:v xml:space="preserve">Затрудняюсь ответить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10</c:v>
                </c:pt>
                <c:pt idx="1">
                  <c:v>18</c:v>
                </c:pt>
                <c:pt idx="2">
                  <c:v>29</c:v>
                </c:pt>
                <c:pt idx="3">
                  <c:v>38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'Лист1'!$A$2:$A$6</c:f>
              <c:strCache>
                <c:ptCount val="5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  <c:pt idx="4">
                  <c:v xml:space="preserve">Затрудняюсь ответить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14</c:v>
                </c:pt>
                <c:pt idx="1">
                  <c:v>17</c:v>
                </c:pt>
                <c:pt idx="2">
                  <c:v>28</c:v>
                </c:pt>
                <c:pt idx="3">
                  <c:v>32</c:v>
                </c:pt>
                <c:pt idx="4">
                  <c:v>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axId val="1866169513"/>
        <c:axId val="1866169514"/>
      </c:barChart>
      <c:catAx>
        <c:axId val="186616951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4"/>
        <c:crosses val="autoZero"/>
        <c:auto val="1"/>
        <c:lblAlgn val="ctr"/>
        <c:lblOffset val="100"/>
        <c:noMultiLvlLbl val="0"/>
      </c:catAx>
      <c:valAx>
        <c:axId val="186616951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 val="0.0064000000000000003"/>
          <c:y val="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6" cy="393826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Информированность представителей  бизнеса </a:t>
            </a:r>
            <a:endParaRPr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о мерах, принимаемых властями региона </a:t>
            </a:r>
            <a:endParaRPr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по противодействию коррупции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(%)</a:t>
            </a:r>
            <a:endParaRPr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9153999999999999"/>
          <c:y val="0.016199999999999999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24</c:v>
                </c:pt>
                <c:pt idx="1">
                  <c:v>31</c:v>
                </c:pt>
                <c:pt idx="2">
                  <c:v>17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24</c:v>
                </c:pt>
                <c:pt idx="1">
                  <c:v>35</c:v>
                </c:pt>
                <c:pt idx="2">
                  <c:v>18</c:v>
                </c:pt>
                <c:pt idx="3">
                  <c:v>23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0"/>
        <c:axId val="524685024"/>
        <c:axId val="524683848"/>
      </c:barChart>
      <c:catAx>
        <c:axId val="52468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3848"/>
        <c:crosses val="autoZero"/>
        <c:auto val="1"/>
        <c:lblAlgn val="ctr"/>
        <c:lblOffset val="100"/>
        <c:noMultiLvlLbl val="0"/>
      </c:catAx>
      <c:valAx>
        <c:axId val="52468384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502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1" cy="391794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6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sz="1400">
              <a:solidFill>
                <a:schemeClr val="tx1"/>
              </a:solidFill>
            </a:endParaRPr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6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Лист1!$A$16:$A$17</c:f>
              <c:strCache>
                <c:ptCount val="2"/>
                <c:pt idx="0">
                  <c:v xml:space="preserve">Власти делают все возможное</c:v>
                </c:pt>
                <c:pt idx="1">
                  <c:v xml:space="preserve"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Лист1!$A$16:$A$17</c:f>
              <c:strCache>
                <c:ptCount val="2"/>
                <c:pt idx="0">
                  <c:v xml:space="preserve">Власти делают все возможное</c:v>
                </c:pt>
                <c:pt idx="1">
                  <c:v xml:space="preserve"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9</c:v>
                </c:pt>
                <c:pt idx="1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Лист1!$A$16:$A$17</c:f>
              <c:strCache>
                <c:ptCount val="2"/>
                <c:pt idx="0">
                  <c:v xml:space="preserve">Власти делают все возможное</c:v>
                </c:pt>
                <c:pt idx="1">
                  <c:v xml:space="preserve"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0"/>
        <c:axId val="1866169535"/>
        <c:axId val="1866169536"/>
      </c:barChart>
      <c:catAx>
        <c:axId val="1866169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6"/>
        <c:crosses val="autoZero"/>
        <c:auto val="1"/>
        <c:lblAlgn val="ctr"/>
        <c:lblOffset val="100"/>
        <c:noMultiLvlLbl val="0"/>
      </c:catAx>
      <c:valAx>
        <c:axId val="186616953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37414" cy="275174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представителями бизнеса эффективности принимаемых властями региона мер </a:t>
            </a:r>
            <a:endParaRPr>
              <a:solidFill>
                <a:schemeClr val="tx1"/>
              </a:solidFill>
            </a:endParaRPr>
          </a:p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по противодействию коррупции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sz="1400">
              <a:solidFill>
                <a:schemeClr val="tx1"/>
              </a:solidFill>
            </a:endParaRPr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Лист1!$A$21:$A$26</c:f>
              <c:strCache>
                <c:ptCount val="6"/>
                <c:pt idx="0">
                  <c:v xml:space="preserve">Затрудняюсь ответить</c:v>
                </c:pt>
                <c:pt idx="1">
                  <c:v xml:space="preserve">Ухудшающими ситуацию</c:v>
                </c:pt>
                <c:pt idx="2">
                  <c:v xml:space="preserve">Абсолютно неэффективны</c:v>
                </c:pt>
                <c:pt idx="3">
                  <c:v xml:space="preserve">Скорее неэффективны</c:v>
                </c:pt>
                <c:pt idx="4">
                  <c:v xml:space="preserve">Скорее эффективны</c:v>
                </c:pt>
                <c:pt idx="5">
                  <c:v xml:space="preserve"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Лист1!$A$21:$A$26</c:f>
              <c:strCache>
                <c:ptCount val="6"/>
                <c:pt idx="0">
                  <c:v xml:space="preserve">Затрудняюсь ответить</c:v>
                </c:pt>
                <c:pt idx="1">
                  <c:v xml:space="preserve">Ухудшающими ситуацию</c:v>
                </c:pt>
                <c:pt idx="2">
                  <c:v xml:space="preserve">Абсолютно неэффективны</c:v>
                </c:pt>
                <c:pt idx="3">
                  <c:v xml:space="preserve">Скорее неэффективны</c:v>
                </c:pt>
                <c:pt idx="4">
                  <c:v xml:space="preserve">Скорее эффективны</c:v>
                </c:pt>
                <c:pt idx="5">
                  <c:v xml:space="preserve"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34</c:v>
                </c:pt>
                <c:pt idx="1">
                  <c:v>2</c:v>
                </c:pt>
                <c:pt idx="2">
                  <c:v>15</c:v>
                </c:pt>
                <c:pt idx="3">
                  <c:v>18</c:v>
                </c:pt>
                <c:pt idx="4">
                  <c:v>21</c:v>
                </c:pt>
                <c:pt idx="5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Лист1!$A$21:$A$26</c:f>
              <c:strCache>
                <c:ptCount val="6"/>
                <c:pt idx="0">
                  <c:v xml:space="preserve">Затрудняюсь ответить</c:v>
                </c:pt>
                <c:pt idx="1">
                  <c:v xml:space="preserve">Ухудшающими ситуацию</c:v>
                </c:pt>
                <c:pt idx="2">
                  <c:v xml:space="preserve">Абсолютно неэффективны</c:v>
                </c:pt>
                <c:pt idx="3">
                  <c:v xml:space="preserve">Скорее неэффективны</c:v>
                </c:pt>
                <c:pt idx="4">
                  <c:v xml:space="preserve">Скорее эффективны</c:v>
                </c:pt>
                <c:pt idx="5">
                  <c:v xml:space="preserve"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27</c:v>
                </c:pt>
                <c:pt idx="1">
                  <c:v>3</c:v>
                </c:pt>
                <c:pt idx="2">
                  <c:v>16</c:v>
                </c:pt>
                <c:pt idx="3">
                  <c:v>14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19"/>
        <c:axId val="1866169475"/>
        <c:axId val="1866169476"/>
      </c:barChart>
      <c:catAx>
        <c:axId val="18661694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37414" cy="369270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уровня коррумпированности органов власти Оренбургской области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sz="1400">
              <a:solidFill>
                <a:schemeClr val="tx1"/>
              </a:solidFill>
            </a:endParaRPr>
          </a:p>
        </c:rich>
      </c:tx>
      <c:layout>
        <c:manualLayout>
          <c:x val="-0.00133"/>
          <c:y val="-0.0080499999999999999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058650000000000001"/>
          <c:y val="0.23622000000000001"/>
          <c:w val="0.92047999999999996"/>
          <c:h val="0.59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Лист1!$A$30:$A$31</c:f>
              <c:strCache>
                <c:ptCount val="2"/>
                <c:pt idx="0">
                  <c:v xml:space="preserve">Власти Оренбургской области честные</c:v>
                </c:pt>
                <c:pt idx="1">
                  <c:v xml:space="preserve"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Лист1!$A$30:$A$31</c:f>
              <c:strCache>
                <c:ptCount val="2"/>
                <c:pt idx="0">
                  <c:v xml:space="preserve">Власти Оренбургской области честные</c:v>
                </c:pt>
                <c:pt idx="1">
                  <c:v xml:space="preserve"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6</c:v>
                </c:pt>
                <c:pt idx="1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Лист1!$A$30:$A$31</c:f>
              <c:strCache>
                <c:ptCount val="2"/>
                <c:pt idx="0">
                  <c:v xml:space="preserve">Власти Оренбургской области честные</c:v>
                </c:pt>
                <c:pt idx="1">
                  <c:v xml:space="preserve"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6</c:v>
                </c:pt>
                <c:pt idx="1">
                  <c:v>25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0"/>
        <c:axId val="524699136"/>
        <c:axId val="524699920"/>
      </c:barChart>
      <c:catAx>
        <c:axId val="52469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920"/>
        <c:crosses val="autoZero"/>
        <c:auto val="1"/>
        <c:lblAlgn val="ctr"/>
        <c:lblOffset val="100"/>
        <c:noMultiLvlLbl val="0"/>
      </c:catAx>
      <c:valAx>
        <c:axId val="52469992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13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2" cy="295787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Результаты обращений в государственные </a:t>
            </a:r>
            <a:endParaRPr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и муниципальные учреждения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(%)</a:t>
            </a:r>
            <a:endParaRPr>
              <a:solidFill>
                <a:schemeClr val="tx1"/>
              </a:solidFill>
            </a:endParaRPr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'Лист1'!$A$35:$A$38</c:f>
              <c:strCache>
                <c:ptCount val="4"/>
                <c:pt idx="0">
                  <c:v xml:space="preserve">Полностью удовлетворены</c:v>
                </c:pt>
                <c:pt idx="1">
                  <c:v xml:space="preserve">Частично удовлетворены</c:v>
                </c:pt>
                <c:pt idx="2">
                  <c:v xml:space="preserve">Совсем не удовлетворены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>'Лист1'!$B$35:$B$38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'Лист1'!$A$35:$A$38</c:f>
              <c:strCache>
                <c:ptCount val="4"/>
                <c:pt idx="0">
                  <c:v xml:space="preserve">Полностью удовлетворены</c:v>
                </c:pt>
                <c:pt idx="1">
                  <c:v xml:space="preserve">Частично удовлетворены</c:v>
                </c:pt>
                <c:pt idx="2">
                  <c:v xml:space="preserve">Совсем не удовлетворены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>'Лист1'!$C$35:$C$38</c:f>
              <c:numCache>
                <c:formatCode>General</c:formatCode>
                <c:ptCount val="4"/>
                <c:pt idx="0">
                  <c:v>56</c:v>
                </c:pt>
                <c:pt idx="1">
                  <c:v>27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'Лист1'!$A$35:$A$38</c:f>
              <c:strCache>
                <c:ptCount val="4"/>
                <c:pt idx="0">
                  <c:v xml:space="preserve">Полностью удовлетворены</c:v>
                </c:pt>
                <c:pt idx="1">
                  <c:v xml:space="preserve">Частично удовлетворены</c:v>
                </c:pt>
                <c:pt idx="2">
                  <c:v xml:space="preserve">Совсем не удовлетворены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>'Лист1'!$D$35:$D$38</c:f>
              <c:numCache>
                <c:formatCode>General</c:formatCode>
                <c:ptCount val="4"/>
                <c:pt idx="0">
                  <c:v>55</c:v>
                </c:pt>
                <c:pt idx="1">
                  <c:v>29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19"/>
        <c:axId val="1866169529"/>
        <c:axId val="1866169530"/>
      </c:barChart>
      <c:catAx>
        <c:axId val="186616952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0"/>
        <c:crosses val="autoZero"/>
        <c:auto val="1"/>
        <c:lblAlgn val="ctr"/>
        <c:lblOffset val="100"/>
        <c:noMultiLvlLbl val="0"/>
      </c:catAx>
      <c:valAx>
        <c:axId val="186616953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2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9" cy="390143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Основные результаты от бытовой коррупции, (%)</a:t>
            </a:r>
            <a:endParaRPr>
              <a:solidFill>
                <a:schemeClr val="tx1"/>
              </a:solidFill>
            </a:endParaRPr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 xml:space="preserve">'Лист1 (2)'!$B$1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(2)'!$A$42:$A$47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Качественное решение проблемы</c:v>
                </c:pt>
                <c:pt idx="3">
                  <c:v xml:space="preserve">Получение результата, который и так закреплен за функционалом должностного лица</c:v>
                </c:pt>
                <c:pt idx="4">
                  <c:v xml:space="preserve">Взятка ничего не гарантирует</c:v>
                </c:pt>
                <c:pt idx="5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(2)'!$B$42:$B$47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 xml:space="preserve">'Лист1 (2)'!$C$1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(2)'!$A$42:$A$47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Качественное решение проблемы</c:v>
                </c:pt>
                <c:pt idx="3">
                  <c:v xml:space="preserve">Получение результата, который и так закреплен за функционалом должностного лица</c:v>
                </c:pt>
                <c:pt idx="4">
                  <c:v xml:space="preserve">Взятка ничего не гарантирует</c:v>
                </c:pt>
                <c:pt idx="5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(2)'!$C$42:$C$47</c:f>
              <c:numCache>
                <c:formatCode>General</c:formatCode>
                <c:ptCount val="6"/>
                <c:pt idx="0">
                  <c:v>34</c:v>
                </c:pt>
                <c:pt idx="1">
                  <c:v>9</c:v>
                </c:pt>
                <c:pt idx="2">
                  <c:v>14</c:v>
                </c:pt>
                <c:pt idx="3">
                  <c:v>12</c:v>
                </c:pt>
                <c:pt idx="4">
                  <c:v>22</c:v>
                </c:pt>
                <c:pt idx="5">
                  <c:v>6</c:v>
                </c:pt>
              </c:numCache>
            </c:numRef>
          </c:val>
        </c:ser>
        <c:ser>
          <c:idx val="2"/>
          <c:order val="2"/>
          <c:tx>
            <c:strRef>
              <c:f xml:space="preserve">'Лист1 (2)'!$D$1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(2)'!$A$42:$A$47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Качественное решение проблемы</c:v>
                </c:pt>
                <c:pt idx="3">
                  <c:v xml:space="preserve">Получение результата, который и так закреплен за функционалом должностного лица</c:v>
                </c:pt>
                <c:pt idx="4">
                  <c:v xml:space="preserve">Взятка ничего не гарантирует</c:v>
                </c:pt>
                <c:pt idx="5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(2)'!$D$42:$D$47</c:f>
              <c:numCache>
                <c:formatCode>General</c:formatCode>
                <c:ptCount val="6"/>
                <c:pt idx="0">
                  <c:v>29</c:v>
                </c:pt>
                <c:pt idx="1">
                  <c:v>7</c:v>
                </c:pt>
                <c:pt idx="2">
                  <c:v>11</c:v>
                </c:pt>
                <c:pt idx="3">
                  <c:v>13</c:v>
                </c:pt>
                <c:pt idx="4">
                  <c:v>23</c:v>
                </c:pt>
                <c:pt idx="5">
                  <c:v>14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19"/>
        <c:axId val="1866169553"/>
        <c:axId val="1866169554"/>
      </c:barChart>
      <c:catAx>
        <c:axId val="186616955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54"/>
        <c:crosses val="autoZero"/>
        <c:auto val="1"/>
        <c:lblAlgn val="ctr"/>
        <c:lblOffset val="100"/>
        <c:noMultiLvlLbl val="0"/>
      </c:catAx>
      <c:valAx>
        <c:axId val="186616955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5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 val="0.0012999999999999999"/>
          <c:y val="0.01617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92976" cy="366523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Причины распространения коррупции, (%)</a:t>
            </a:r>
            <a:endParaRPr>
              <a:solidFill>
                <a:schemeClr val="tx1"/>
              </a:solidFill>
            </a:endParaRPr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 xml:space="preserve">'Лист1 (2)'!$B$1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(2)'!$A$35:$A$38</c:f>
              <c:strCache>
                <c:ptCount val="4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(2)'!$B$35:$B$38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</c:ser>
        <c:ser>
          <c:idx val="1"/>
          <c:order val="1"/>
          <c:tx>
            <c:strRef>
              <c:f xml:space="preserve">'Лист1 (2)'!$C$1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(2)'!$A$35:$A$38</c:f>
              <c:strCache>
                <c:ptCount val="4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(2)'!$C$35:$C$38</c:f>
              <c:numCache>
                <c:formatCode>General</c:formatCode>
                <c:ptCount val="4"/>
                <c:pt idx="0">
                  <c:v>33</c:v>
                </c:pt>
                <c:pt idx="1">
                  <c:v>22</c:v>
                </c:pt>
                <c:pt idx="2">
                  <c:v>15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 xml:space="preserve">'Лист1 (2)'!$D$1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(2)'!$A$35:$A$38</c:f>
              <c:strCache>
                <c:ptCount val="4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(2)'!$D$35:$D$38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>
                  <c:v>16</c:v>
                </c:pt>
                <c:pt idx="3">
                  <c:v>20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18"/>
        <c:axId val="1866169497"/>
        <c:axId val="1866169498"/>
      </c:barChart>
      <c:catAx>
        <c:axId val="186616949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8"/>
        <c:crosses val="autoZero"/>
        <c:auto val="1"/>
        <c:lblAlgn val="ctr"/>
        <c:lblOffset val="100"/>
        <c:noMultiLvlLbl val="0"/>
      </c:catAx>
      <c:valAx>
        <c:axId val="186616949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08910" cy="401020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DBC4-E807-409C-B795-691A3C6B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revision>321</cp:revision>
  <dcterms:created xsi:type="dcterms:W3CDTF">2022-05-26T09:32:00Z</dcterms:created>
  <dcterms:modified xsi:type="dcterms:W3CDTF">2025-03-17T09:56:58Z</dcterms:modified>
</cp:coreProperties>
</file>